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236C" w14:textId="77777777" w:rsidR="005F6340" w:rsidRDefault="005F6340" w:rsidP="008F0188">
      <w:pPr>
        <w:tabs>
          <w:tab w:val="left" w:pos="720"/>
          <w:tab w:val="left" w:pos="1440"/>
          <w:tab w:val="left" w:pos="2880"/>
          <w:tab w:val="left" w:pos="6660"/>
        </w:tabs>
        <w:jc w:val="center"/>
        <w:rPr>
          <w:rFonts w:ascii="Arial" w:hAnsi="Arial" w:cs="Arial"/>
          <w:b/>
        </w:rPr>
      </w:pPr>
    </w:p>
    <w:p w14:paraId="4933450A" w14:textId="698A262B" w:rsidR="00E308F4" w:rsidRPr="007F1406" w:rsidRDefault="00E308F4" w:rsidP="008F0188">
      <w:pPr>
        <w:tabs>
          <w:tab w:val="left" w:pos="720"/>
          <w:tab w:val="left" w:pos="1440"/>
          <w:tab w:val="left" w:pos="2880"/>
          <w:tab w:val="left" w:pos="6660"/>
        </w:tabs>
        <w:jc w:val="center"/>
        <w:rPr>
          <w:rFonts w:ascii="Arial" w:hAnsi="Arial" w:cs="Arial"/>
          <w:b/>
        </w:rPr>
      </w:pPr>
      <w:r w:rsidRPr="007F1406">
        <w:rPr>
          <w:rFonts w:ascii="Arial" w:hAnsi="Arial" w:cs="Arial"/>
          <w:b/>
        </w:rPr>
        <w:t>Registers of Scotland</w:t>
      </w:r>
    </w:p>
    <w:p w14:paraId="4EEC6347" w14:textId="77777777" w:rsidR="00E308F4" w:rsidRPr="007F1406" w:rsidRDefault="00E308F4" w:rsidP="008F0188">
      <w:pPr>
        <w:jc w:val="center"/>
        <w:rPr>
          <w:rFonts w:ascii="Arial" w:hAnsi="Arial" w:cs="Arial"/>
          <w:b/>
        </w:rPr>
      </w:pPr>
    </w:p>
    <w:p w14:paraId="5DA9820B" w14:textId="7C1316A9" w:rsidR="00E308F4" w:rsidRPr="007F1406" w:rsidRDefault="00B9407C" w:rsidP="008F0188">
      <w:pPr>
        <w:jc w:val="center"/>
        <w:rPr>
          <w:rFonts w:ascii="Arial" w:hAnsi="Arial" w:cs="Arial"/>
          <w:b/>
        </w:rPr>
      </w:pPr>
      <w:r w:rsidRPr="007F1406">
        <w:rPr>
          <w:rFonts w:ascii="Arial" w:hAnsi="Arial" w:cs="Arial"/>
          <w:b/>
        </w:rPr>
        <w:t>RoS Board</w:t>
      </w:r>
    </w:p>
    <w:p w14:paraId="4AEEC560" w14:textId="77777777" w:rsidR="00E308F4" w:rsidRPr="007F1406" w:rsidRDefault="00E308F4" w:rsidP="008F0188">
      <w:pPr>
        <w:jc w:val="center"/>
        <w:rPr>
          <w:rFonts w:ascii="Arial" w:hAnsi="Arial" w:cs="Arial"/>
          <w:b/>
        </w:rPr>
      </w:pPr>
    </w:p>
    <w:p w14:paraId="4516C47F" w14:textId="50ACA181" w:rsidR="00E308F4" w:rsidRPr="007F1406" w:rsidRDefault="00B9407C" w:rsidP="008F0188">
      <w:pPr>
        <w:jc w:val="center"/>
        <w:rPr>
          <w:rFonts w:ascii="Arial" w:hAnsi="Arial" w:cs="Arial"/>
          <w:b/>
        </w:rPr>
      </w:pPr>
      <w:r w:rsidRPr="007F1406">
        <w:rPr>
          <w:rFonts w:ascii="Arial" w:hAnsi="Arial" w:cs="Arial"/>
          <w:b/>
        </w:rPr>
        <w:t>14 December 2021</w:t>
      </w:r>
    </w:p>
    <w:p w14:paraId="157D2710" w14:textId="77777777" w:rsidR="00E308F4" w:rsidRPr="007F1406" w:rsidRDefault="00E308F4" w:rsidP="008F0188">
      <w:pPr>
        <w:jc w:val="center"/>
        <w:rPr>
          <w:rFonts w:ascii="Arial" w:hAnsi="Arial" w:cs="Arial"/>
          <w:b/>
        </w:rPr>
      </w:pPr>
    </w:p>
    <w:p w14:paraId="0C80AF3D" w14:textId="7BA1D65B" w:rsidR="00E753D2" w:rsidRPr="007F1406" w:rsidRDefault="00224CCA" w:rsidP="008F0188">
      <w:pPr>
        <w:jc w:val="center"/>
        <w:rPr>
          <w:rFonts w:ascii="Arial" w:hAnsi="Arial" w:cs="Arial"/>
          <w:b/>
        </w:rPr>
      </w:pPr>
      <w:r>
        <w:rPr>
          <w:rFonts w:ascii="Arial" w:hAnsi="Arial" w:cs="Arial"/>
          <w:b/>
        </w:rPr>
        <w:t>Compensation Annual Report 2020-21</w:t>
      </w:r>
    </w:p>
    <w:p w14:paraId="3FCF67CA" w14:textId="77777777" w:rsidR="007F2E21" w:rsidRPr="007F1406" w:rsidRDefault="007F2E21" w:rsidP="008F0188">
      <w:pPr>
        <w:jc w:val="both"/>
        <w:rPr>
          <w:rFonts w:ascii="Arial" w:hAnsi="Arial" w:cs="Arial"/>
          <w:b/>
        </w:rPr>
      </w:pPr>
    </w:p>
    <w:p w14:paraId="12CD85CE" w14:textId="77777777" w:rsidR="00E308F4" w:rsidRPr="007F1406" w:rsidRDefault="00E308F4" w:rsidP="008F0188">
      <w:pPr>
        <w:jc w:val="both"/>
        <w:rPr>
          <w:rFonts w:ascii="Arial" w:hAnsi="Arial" w:cs="Arial"/>
          <w:b/>
        </w:rPr>
      </w:pPr>
      <w:r w:rsidRPr="007F1406">
        <w:rPr>
          <w:rFonts w:ascii="Arial" w:hAnsi="Arial" w:cs="Arial"/>
          <w:b/>
        </w:rPr>
        <w:t>Purpose</w:t>
      </w:r>
    </w:p>
    <w:p w14:paraId="7192E602" w14:textId="77777777" w:rsidR="00E308F4" w:rsidRPr="007F1406" w:rsidRDefault="00E308F4" w:rsidP="008F0188">
      <w:pPr>
        <w:jc w:val="both"/>
        <w:rPr>
          <w:rFonts w:ascii="Arial" w:hAnsi="Arial" w:cs="Arial"/>
          <w:b/>
        </w:rPr>
      </w:pPr>
    </w:p>
    <w:p w14:paraId="3EEDFECB" w14:textId="36FC4088" w:rsidR="007E41FD" w:rsidRPr="006735F0" w:rsidRDefault="006735F0" w:rsidP="008F0188">
      <w:pPr>
        <w:ind w:left="720" w:hanging="720"/>
        <w:jc w:val="both"/>
        <w:rPr>
          <w:rFonts w:ascii="Arial" w:hAnsi="Arial" w:cs="Arial"/>
        </w:rPr>
      </w:pPr>
      <w:r>
        <w:rPr>
          <w:rFonts w:ascii="Arial" w:hAnsi="Arial" w:cs="Arial"/>
        </w:rPr>
        <w:t>1</w:t>
      </w:r>
      <w:r>
        <w:rPr>
          <w:rFonts w:ascii="Arial" w:hAnsi="Arial" w:cs="Arial"/>
        </w:rPr>
        <w:tab/>
      </w:r>
      <w:r w:rsidR="00B9407C" w:rsidRPr="006735F0">
        <w:rPr>
          <w:rFonts w:ascii="Arial" w:hAnsi="Arial" w:cs="Arial"/>
        </w:rPr>
        <w:t xml:space="preserve">To update RoS Board on </w:t>
      </w:r>
      <w:r w:rsidR="008A0F17" w:rsidRPr="006735F0">
        <w:rPr>
          <w:rFonts w:ascii="Arial" w:hAnsi="Arial" w:cs="Arial"/>
        </w:rPr>
        <w:t>the payment of compensation</w:t>
      </w:r>
      <w:r w:rsidR="00224CCA" w:rsidRPr="006735F0">
        <w:rPr>
          <w:rFonts w:ascii="Arial" w:hAnsi="Arial" w:cs="Arial"/>
        </w:rPr>
        <w:t xml:space="preserve"> by Registers of Scotland in the financial year 2020-21</w:t>
      </w:r>
      <w:r w:rsidR="007E41FD" w:rsidRPr="006735F0">
        <w:rPr>
          <w:rFonts w:ascii="Arial" w:hAnsi="Arial" w:cs="Arial"/>
        </w:rPr>
        <w:t xml:space="preserve">. </w:t>
      </w:r>
    </w:p>
    <w:p w14:paraId="1E91FAE7" w14:textId="77777777" w:rsidR="00B505FF" w:rsidRPr="007F1406" w:rsidRDefault="00B505FF" w:rsidP="008F0188">
      <w:pPr>
        <w:jc w:val="both"/>
        <w:rPr>
          <w:rFonts w:ascii="Arial" w:hAnsi="Arial" w:cs="Arial"/>
        </w:rPr>
      </w:pPr>
    </w:p>
    <w:p w14:paraId="61533334" w14:textId="141D2785" w:rsidR="00B505FF" w:rsidRPr="006735F0" w:rsidRDefault="006735F0" w:rsidP="008F0188">
      <w:pPr>
        <w:jc w:val="both"/>
        <w:rPr>
          <w:rFonts w:ascii="Arial" w:hAnsi="Arial" w:cs="Arial"/>
        </w:rPr>
      </w:pPr>
      <w:r>
        <w:rPr>
          <w:rFonts w:ascii="Arial" w:hAnsi="Arial" w:cs="Arial"/>
        </w:rPr>
        <w:t>2</w:t>
      </w:r>
      <w:r>
        <w:rPr>
          <w:rFonts w:ascii="Arial" w:hAnsi="Arial" w:cs="Arial"/>
        </w:rPr>
        <w:tab/>
      </w:r>
      <w:r w:rsidR="007E41FD" w:rsidRPr="006735F0">
        <w:rPr>
          <w:rFonts w:ascii="Arial" w:hAnsi="Arial" w:cs="Arial"/>
        </w:rPr>
        <w:t>RoS Board are invited to note the contents of this paper.</w:t>
      </w:r>
    </w:p>
    <w:p w14:paraId="588BD5C2" w14:textId="77777777" w:rsidR="005E35CD" w:rsidRDefault="005E35CD" w:rsidP="008F0188">
      <w:pPr>
        <w:jc w:val="both"/>
        <w:rPr>
          <w:rFonts w:ascii="Arial" w:hAnsi="Arial" w:cs="Arial"/>
          <w:b/>
        </w:rPr>
      </w:pPr>
    </w:p>
    <w:p w14:paraId="174CE7CD" w14:textId="0347120B" w:rsidR="008A0F17" w:rsidRPr="002E3514" w:rsidRDefault="008A0F17" w:rsidP="008F0188">
      <w:pPr>
        <w:jc w:val="both"/>
        <w:rPr>
          <w:rFonts w:ascii="Arial" w:hAnsi="Arial" w:cs="Arial"/>
          <w:b/>
        </w:rPr>
      </w:pPr>
      <w:r w:rsidRPr="002E3514">
        <w:rPr>
          <w:rFonts w:ascii="Arial" w:hAnsi="Arial" w:cs="Arial"/>
          <w:b/>
        </w:rPr>
        <w:t>Background</w:t>
      </w:r>
    </w:p>
    <w:p w14:paraId="43CE2850" w14:textId="56ED4ABF" w:rsidR="008A0F17" w:rsidRPr="00011B35" w:rsidRDefault="008A0F17" w:rsidP="008F0188">
      <w:pPr>
        <w:jc w:val="both"/>
        <w:rPr>
          <w:rFonts w:ascii="Arial" w:hAnsi="Arial" w:cs="Arial"/>
          <w:b/>
        </w:rPr>
      </w:pPr>
    </w:p>
    <w:p w14:paraId="42645055" w14:textId="281CE13C" w:rsidR="00E10682" w:rsidRDefault="008F0188" w:rsidP="00616DCB">
      <w:pPr>
        <w:jc w:val="both"/>
        <w:rPr>
          <w:rFonts w:ascii="Arial" w:hAnsi="Arial" w:cs="Arial"/>
          <w:bCs/>
        </w:rPr>
      </w:pPr>
      <w:r>
        <w:rPr>
          <w:rFonts w:ascii="Arial" w:hAnsi="Arial" w:cs="Arial"/>
          <w:bCs/>
        </w:rPr>
        <w:t>3</w:t>
      </w:r>
      <w:r>
        <w:rPr>
          <w:rFonts w:ascii="Arial" w:hAnsi="Arial" w:cs="Arial"/>
          <w:bCs/>
        </w:rPr>
        <w:tab/>
      </w:r>
      <w:r w:rsidR="00332F46">
        <w:rPr>
          <w:rFonts w:ascii="Arial" w:hAnsi="Arial" w:cs="Arial"/>
          <w:bCs/>
        </w:rPr>
        <w:t xml:space="preserve"> One of the core </w:t>
      </w:r>
      <w:r w:rsidR="00067750">
        <w:rPr>
          <w:rFonts w:ascii="Arial" w:hAnsi="Arial" w:cs="Arial"/>
          <w:bCs/>
        </w:rPr>
        <w:t>principles underpinning</w:t>
      </w:r>
      <w:r w:rsidR="00332F46">
        <w:rPr>
          <w:rFonts w:ascii="Arial" w:hAnsi="Arial" w:cs="Arial"/>
          <w:bCs/>
        </w:rPr>
        <w:t xml:space="preserve"> </w:t>
      </w:r>
      <w:r w:rsidR="00067750">
        <w:rPr>
          <w:rFonts w:ascii="Arial" w:hAnsi="Arial" w:cs="Arial"/>
          <w:bCs/>
        </w:rPr>
        <w:t>title</w:t>
      </w:r>
      <w:r w:rsidR="00332F46">
        <w:rPr>
          <w:rFonts w:ascii="Arial" w:hAnsi="Arial" w:cs="Arial"/>
          <w:bCs/>
        </w:rPr>
        <w:t xml:space="preserve"> registration systems</w:t>
      </w:r>
      <w:r w:rsidR="00067750">
        <w:rPr>
          <w:rFonts w:ascii="Arial" w:hAnsi="Arial" w:cs="Arial"/>
          <w:bCs/>
        </w:rPr>
        <w:t xml:space="preserve"> worldwide </w:t>
      </w:r>
      <w:r w:rsidR="00332F46">
        <w:rPr>
          <w:rFonts w:ascii="Arial" w:hAnsi="Arial" w:cs="Arial"/>
          <w:bCs/>
        </w:rPr>
        <w:t>is</w:t>
      </w:r>
      <w:r w:rsidR="00067750">
        <w:rPr>
          <w:rFonts w:ascii="Arial" w:hAnsi="Arial" w:cs="Arial"/>
          <w:bCs/>
        </w:rPr>
        <w:t xml:space="preserve"> the insurance principle. This is the concept that parties who suffer loss </w:t>
      </w:r>
      <w:r w:rsidR="00674E21">
        <w:rPr>
          <w:rFonts w:ascii="Arial" w:hAnsi="Arial" w:cs="Arial"/>
          <w:bCs/>
        </w:rPr>
        <w:t>because of</w:t>
      </w:r>
      <w:r w:rsidR="00067750">
        <w:rPr>
          <w:rFonts w:ascii="Arial" w:hAnsi="Arial" w:cs="Arial"/>
          <w:bCs/>
        </w:rPr>
        <w:t xml:space="preserve"> a mistake on the register should be compensated. It is the price that is paid for the benefits which flow from title registration (faster, cheaper and more secure conveyancing). Although the principle is present in most </w:t>
      </w:r>
      <w:r w:rsidR="00A70714">
        <w:rPr>
          <w:rFonts w:ascii="Arial" w:hAnsi="Arial" w:cs="Arial"/>
          <w:bCs/>
        </w:rPr>
        <w:t>jurisdictions</w:t>
      </w:r>
      <w:r w:rsidR="00067750">
        <w:rPr>
          <w:rFonts w:ascii="Arial" w:hAnsi="Arial" w:cs="Arial"/>
          <w:bCs/>
        </w:rPr>
        <w:t xml:space="preserve"> the detail differs significantly. The position in Scotland is set out in the </w:t>
      </w:r>
      <w:r w:rsidR="00674E21">
        <w:rPr>
          <w:rFonts w:ascii="Arial" w:hAnsi="Arial" w:cs="Arial"/>
          <w:bCs/>
        </w:rPr>
        <w:t>A</w:t>
      </w:r>
      <w:r w:rsidR="00067750">
        <w:rPr>
          <w:rFonts w:ascii="Arial" w:hAnsi="Arial" w:cs="Arial"/>
          <w:bCs/>
        </w:rPr>
        <w:t xml:space="preserve">nnex.  </w:t>
      </w:r>
    </w:p>
    <w:p w14:paraId="5748F0AB" w14:textId="77777777" w:rsidR="00171EEF" w:rsidRDefault="00171EEF" w:rsidP="00616DCB">
      <w:pPr>
        <w:jc w:val="both"/>
        <w:rPr>
          <w:rFonts w:ascii="Arial" w:hAnsi="Arial" w:cs="Arial"/>
          <w:b/>
          <w:i/>
          <w:iCs/>
          <w:color w:val="2E74B5" w:themeColor="accent1" w:themeShade="BF"/>
        </w:rPr>
      </w:pPr>
    </w:p>
    <w:p w14:paraId="5056759F" w14:textId="77777777" w:rsidR="008221EE" w:rsidRDefault="006735F0" w:rsidP="008F0188">
      <w:pPr>
        <w:ind w:left="720" w:hanging="720"/>
        <w:jc w:val="both"/>
        <w:rPr>
          <w:rFonts w:ascii="Arial" w:hAnsi="Arial" w:cs="Arial"/>
        </w:rPr>
      </w:pPr>
      <w:r>
        <w:rPr>
          <w:rFonts w:ascii="Arial" w:hAnsi="Arial" w:cs="Arial"/>
        </w:rPr>
        <w:t>4</w:t>
      </w:r>
      <w:r w:rsidR="008F0188">
        <w:rPr>
          <w:rFonts w:ascii="Arial" w:hAnsi="Arial" w:cs="Arial"/>
        </w:rPr>
        <w:tab/>
      </w:r>
      <w:r w:rsidR="004B4422">
        <w:rPr>
          <w:rFonts w:ascii="Arial" w:hAnsi="Arial" w:cs="Arial"/>
        </w:rPr>
        <w:t>As well as setting out the position for the current financial year the paper seeks</w:t>
      </w:r>
    </w:p>
    <w:p w14:paraId="226238A7" w14:textId="46A8AF36" w:rsidR="0075182C" w:rsidRPr="006735F0" w:rsidRDefault="004B4422" w:rsidP="008F0188">
      <w:pPr>
        <w:ind w:left="720" w:hanging="720"/>
        <w:jc w:val="both"/>
        <w:rPr>
          <w:rFonts w:ascii="Arial" w:hAnsi="Arial" w:cs="Arial"/>
        </w:rPr>
      </w:pPr>
      <w:r>
        <w:rPr>
          <w:rFonts w:ascii="Arial" w:hAnsi="Arial" w:cs="Arial"/>
        </w:rPr>
        <w:t>to set this year in the context of the historical average from the last 4 years</w:t>
      </w:r>
      <w:r w:rsidR="00A70714">
        <w:rPr>
          <w:rFonts w:ascii="Arial" w:hAnsi="Arial" w:cs="Arial"/>
        </w:rPr>
        <w:t>.</w:t>
      </w:r>
    </w:p>
    <w:p w14:paraId="628BE0E3" w14:textId="77777777" w:rsidR="005E35CD" w:rsidRDefault="005E35CD" w:rsidP="008F0188">
      <w:pPr>
        <w:jc w:val="both"/>
        <w:rPr>
          <w:rFonts w:ascii="Arial" w:hAnsi="Arial" w:cs="Arial"/>
          <w:b/>
          <w:bCs/>
        </w:rPr>
      </w:pPr>
    </w:p>
    <w:p w14:paraId="6D6B1F3F" w14:textId="0794624D" w:rsidR="0075182C" w:rsidRPr="002E3514" w:rsidRDefault="0075182C" w:rsidP="008F0188">
      <w:pPr>
        <w:jc w:val="both"/>
        <w:rPr>
          <w:rFonts w:ascii="Arial" w:hAnsi="Arial" w:cs="Arial"/>
          <w:b/>
          <w:bCs/>
        </w:rPr>
      </w:pPr>
      <w:r w:rsidRPr="002E3514">
        <w:rPr>
          <w:rFonts w:ascii="Arial" w:hAnsi="Arial" w:cs="Arial"/>
          <w:b/>
          <w:bCs/>
        </w:rPr>
        <w:t>Compensation Annual Report – Data Analysis</w:t>
      </w:r>
    </w:p>
    <w:p w14:paraId="419AADDF" w14:textId="77777777" w:rsidR="0075182C" w:rsidRPr="0040745B" w:rsidRDefault="0075182C" w:rsidP="008F0188">
      <w:pPr>
        <w:jc w:val="both"/>
        <w:rPr>
          <w:rFonts w:ascii="Arial" w:hAnsi="Arial" w:cs="Arial"/>
          <w:b/>
          <w:bCs/>
        </w:rPr>
      </w:pPr>
    </w:p>
    <w:p w14:paraId="46FEC049" w14:textId="49D1A452" w:rsidR="0075182C" w:rsidRPr="00882ED0" w:rsidRDefault="00007733" w:rsidP="00882ED0">
      <w:pPr>
        <w:jc w:val="both"/>
        <w:rPr>
          <w:rFonts w:ascii="Arial" w:hAnsi="Arial" w:cs="Arial"/>
          <w:b/>
          <w:bCs/>
          <w:color w:val="FF0000"/>
        </w:rPr>
      </w:pPr>
      <w:r>
        <w:rPr>
          <w:rFonts w:ascii="Arial" w:hAnsi="Arial" w:cs="Arial"/>
        </w:rPr>
        <w:t>5</w:t>
      </w:r>
      <w:r w:rsidRPr="005F6340">
        <w:rPr>
          <w:rFonts w:ascii="Arial" w:hAnsi="Arial" w:cs="Arial"/>
        </w:rPr>
        <w:tab/>
      </w:r>
      <w:r w:rsidR="0070790D" w:rsidRPr="005F6340">
        <w:rPr>
          <w:rFonts w:ascii="Arial" w:hAnsi="Arial" w:cs="Arial"/>
        </w:rPr>
        <w:t>Compared to the total number of applications made in a given year, compensation claims are relatively rare:  excluding Advance Notices, in the financial year 2020-21 303,613 applications were made to the property registers.</w:t>
      </w:r>
    </w:p>
    <w:p w14:paraId="0C211DA7" w14:textId="77777777" w:rsidR="005F6340" w:rsidRDefault="005F6340" w:rsidP="008F0188">
      <w:pPr>
        <w:jc w:val="both"/>
        <w:rPr>
          <w:rFonts w:ascii="Arial" w:hAnsi="Arial" w:cs="Arial"/>
          <w:b/>
          <w:bCs/>
        </w:rPr>
      </w:pPr>
    </w:p>
    <w:p w14:paraId="5E5C618D" w14:textId="27FC10E6" w:rsidR="002A3BB0" w:rsidRPr="002A3BB0" w:rsidRDefault="002A3BB0" w:rsidP="008F0188">
      <w:pPr>
        <w:jc w:val="both"/>
        <w:rPr>
          <w:rFonts w:ascii="Arial" w:hAnsi="Arial" w:cs="Arial"/>
          <w:b/>
          <w:bCs/>
        </w:rPr>
      </w:pPr>
      <w:r w:rsidRPr="002A3BB0">
        <w:rPr>
          <w:rFonts w:ascii="Arial" w:hAnsi="Arial" w:cs="Arial"/>
          <w:b/>
          <w:bCs/>
        </w:rPr>
        <w:t xml:space="preserve">Number of claims made </w:t>
      </w:r>
      <w:r>
        <w:rPr>
          <w:rFonts w:ascii="Arial" w:hAnsi="Arial" w:cs="Arial"/>
          <w:b/>
          <w:bCs/>
        </w:rPr>
        <w:t xml:space="preserve">against </w:t>
      </w:r>
      <w:r w:rsidRPr="002A3BB0">
        <w:rPr>
          <w:rFonts w:ascii="Arial" w:hAnsi="Arial" w:cs="Arial"/>
          <w:b/>
          <w:bCs/>
        </w:rPr>
        <w:t>number of claims paid</w:t>
      </w:r>
    </w:p>
    <w:p w14:paraId="32ECC33A" w14:textId="77777777" w:rsidR="002A3BB0" w:rsidRDefault="002A3BB0" w:rsidP="008F0188">
      <w:pPr>
        <w:jc w:val="both"/>
        <w:rPr>
          <w:rFonts w:ascii="Arial" w:hAnsi="Arial" w:cs="Arial"/>
          <w:color w:val="FF0000"/>
        </w:rPr>
      </w:pPr>
    </w:p>
    <w:p w14:paraId="3D48F809" w14:textId="25021235" w:rsidR="002E3514" w:rsidRDefault="00366624" w:rsidP="00366624">
      <w:pPr>
        <w:jc w:val="both"/>
        <w:rPr>
          <w:rFonts w:ascii="Arial" w:hAnsi="Arial" w:cs="Arial"/>
          <w:color w:val="FF0000"/>
        </w:rPr>
      </w:pPr>
      <w:r>
        <w:rPr>
          <w:noProof/>
        </w:rPr>
        <w:drawing>
          <wp:inline distT="0" distB="0" distL="0" distR="0" wp14:anchorId="5A846EAD" wp14:editId="2427C819">
            <wp:extent cx="5542059" cy="2782957"/>
            <wp:effectExtent l="0" t="0" r="1905" b="17780"/>
            <wp:docPr id="1" name="Chart 1">
              <a:extLst xmlns:a="http://schemas.openxmlformats.org/drawingml/2006/main">
                <a:ext uri="{FF2B5EF4-FFF2-40B4-BE49-F238E27FC236}">
                  <a16:creationId xmlns:a16="http://schemas.microsoft.com/office/drawing/2014/main" id="{3652E02F-7CB8-4D25-96E1-A38C0FDE46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813E3D" w14:textId="77777777" w:rsidR="003F077D" w:rsidRPr="00366624" w:rsidRDefault="003F077D" w:rsidP="00366624">
      <w:pPr>
        <w:jc w:val="both"/>
        <w:rPr>
          <w:rFonts w:ascii="Arial" w:hAnsi="Arial" w:cs="Arial"/>
          <w:color w:val="FF0000"/>
        </w:rPr>
      </w:pPr>
    </w:p>
    <w:p w14:paraId="6C1A6415" w14:textId="7339FCE7" w:rsidR="00A41C37" w:rsidRPr="00142D55" w:rsidRDefault="00007733" w:rsidP="00007733">
      <w:pPr>
        <w:jc w:val="both"/>
        <w:rPr>
          <w:rFonts w:ascii="Arial" w:hAnsi="Arial" w:cs="Arial"/>
        </w:rPr>
      </w:pPr>
      <w:r>
        <w:rPr>
          <w:rFonts w:ascii="Arial" w:hAnsi="Arial" w:cs="Arial"/>
        </w:rPr>
        <w:t>6</w:t>
      </w:r>
      <w:r>
        <w:rPr>
          <w:rFonts w:ascii="Arial" w:hAnsi="Arial" w:cs="Arial"/>
        </w:rPr>
        <w:tab/>
      </w:r>
      <w:r w:rsidR="0070790D" w:rsidRPr="00142D55">
        <w:rPr>
          <w:rFonts w:ascii="Arial" w:hAnsi="Arial" w:cs="Arial"/>
        </w:rPr>
        <w:t>The figures for FY 2020/21 show a significant reduction in both claims made and claims paid</w:t>
      </w:r>
      <w:r w:rsidR="005E35CD">
        <w:rPr>
          <w:rFonts w:ascii="Arial" w:hAnsi="Arial" w:cs="Arial"/>
        </w:rPr>
        <w:t xml:space="preserve"> from previous years,</w:t>
      </w:r>
      <w:r w:rsidR="00EC6818" w:rsidRPr="00142D55">
        <w:rPr>
          <w:rFonts w:ascii="Arial" w:hAnsi="Arial" w:cs="Arial"/>
        </w:rPr>
        <w:t xml:space="preserve"> which trend appears to be continuing into the </w:t>
      </w:r>
      <w:r w:rsidR="00EC6818" w:rsidRPr="00142D55">
        <w:rPr>
          <w:rFonts w:ascii="Arial" w:hAnsi="Arial" w:cs="Arial"/>
        </w:rPr>
        <w:lastRenderedPageBreak/>
        <w:t>current financial year</w:t>
      </w:r>
      <w:r w:rsidR="00142D55">
        <w:rPr>
          <w:rFonts w:ascii="Arial" w:hAnsi="Arial" w:cs="Arial"/>
        </w:rPr>
        <w:t xml:space="preserve"> 2</w:t>
      </w:r>
      <w:r w:rsidR="005E35CD">
        <w:rPr>
          <w:rFonts w:ascii="Arial" w:hAnsi="Arial" w:cs="Arial"/>
        </w:rPr>
        <w:t>02</w:t>
      </w:r>
      <w:r w:rsidR="00142D55">
        <w:rPr>
          <w:rFonts w:ascii="Arial" w:hAnsi="Arial" w:cs="Arial"/>
        </w:rPr>
        <w:t>1/22</w:t>
      </w:r>
      <w:r w:rsidR="0070790D" w:rsidRPr="00142D55">
        <w:rPr>
          <w:rFonts w:ascii="Arial" w:hAnsi="Arial" w:cs="Arial"/>
        </w:rPr>
        <w:t xml:space="preserve">.  </w:t>
      </w:r>
      <w:r w:rsidR="0034386D" w:rsidRPr="00142D55">
        <w:rPr>
          <w:rFonts w:ascii="Arial" w:hAnsi="Arial" w:cs="Arial"/>
        </w:rPr>
        <w:t>The volume of claims began to drop at the start of the pandemic and have yet to pick up, which suggests that solicitors may be focussing on work other than recovery of claims, in particular lower-value claims</w:t>
      </w:r>
      <w:r w:rsidR="00A70714" w:rsidRPr="00142D55">
        <w:rPr>
          <w:rFonts w:ascii="Arial" w:hAnsi="Arial" w:cs="Arial"/>
        </w:rPr>
        <w:t xml:space="preserve">.  </w:t>
      </w:r>
    </w:p>
    <w:p w14:paraId="4BAAADDB" w14:textId="77777777" w:rsidR="00A41C37" w:rsidRDefault="00A41C37" w:rsidP="00A41C37">
      <w:pPr>
        <w:pStyle w:val="ListParagraph"/>
        <w:jc w:val="both"/>
        <w:rPr>
          <w:rFonts w:ascii="Arial" w:hAnsi="Arial" w:cs="Arial"/>
        </w:rPr>
      </w:pPr>
    </w:p>
    <w:p w14:paraId="616473BE" w14:textId="15DA66AC" w:rsidR="00E12DA6" w:rsidRPr="008F0188" w:rsidRDefault="00007733" w:rsidP="004076D2">
      <w:pPr>
        <w:jc w:val="both"/>
        <w:rPr>
          <w:rFonts w:ascii="Arial" w:hAnsi="Arial" w:cs="Arial"/>
        </w:rPr>
      </w:pPr>
      <w:r>
        <w:rPr>
          <w:rFonts w:ascii="Arial" w:hAnsi="Arial" w:cs="Arial"/>
        </w:rPr>
        <w:t>7</w:t>
      </w:r>
      <w:r>
        <w:rPr>
          <w:rFonts w:ascii="Arial" w:hAnsi="Arial" w:cs="Arial"/>
        </w:rPr>
        <w:tab/>
      </w:r>
      <w:r w:rsidR="0034386D" w:rsidRPr="00A41C37">
        <w:rPr>
          <w:rFonts w:ascii="Arial" w:hAnsi="Arial" w:cs="Arial"/>
        </w:rPr>
        <w:t>T</w:t>
      </w:r>
      <w:r w:rsidR="00171EEF" w:rsidRPr="00A41C37">
        <w:rPr>
          <w:rFonts w:ascii="Arial" w:hAnsi="Arial" w:cs="Arial"/>
        </w:rPr>
        <w:t xml:space="preserve">he proportion of claims paid </w:t>
      </w:r>
      <w:r w:rsidR="00A90176" w:rsidRPr="00A41C37">
        <w:rPr>
          <w:rFonts w:ascii="Arial" w:hAnsi="Arial" w:cs="Arial"/>
        </w:rPr>
        <w:t>against claims made rose during 2020-21 compared with the previous four years</w:t>
      </w:r>
      <w:r w:rsidR="00171EEF" w:rsidRPr="00A41C37">
        <w:rPr>
          <w:rFonts w:ascii="Arial" w:hAnsi="Arial" w:cs="Arial"/>
        </w:rPr>
        <w:t xml:space="preserve">. </w:t>
      </w:r>
      <w:r w:rsidR="00A41C37">
        <w:rPr>
          <w:rFonts w:ascii="Arial" w:hAnsi="Arial" w:cs="Arial"/>
        </w:rPr>
        <w:t xml:space="preserve">There have been no changes to the compensation team processes or personnel </w:t>
      </w:r>
      <w:r w:rsidR="00C84A39">
        <w:rPr>
          <w:rFonts w:ascii="Arial" w:hAnsi="Arial" w:cs="Arial"/>
        </w:rPr>
        <w:t xml:space="preserve">and we </w:t>
      </w:r>
      <w:r w:rsidR="005A7301">
        <w:rPr>
          <w:rFonts w:ascii="Arial" w:hAnsi="Arial" w:cs="Arial"/>
        </w:rPr>
        <w:t xml:space="preserve">are </w:t>
      </w:r>
      <w:r w:rsidR="00C84A39">
        <w:rPr>
          <w:rFonts w:ascii="Arial" w:hAnsi="Arial" w:cs="Arial"/>
        </w:rPr>
        <w:t xml:space="preserve">confident that this is not a consequence of claims being less thoroughly assessed. </w:t>
      </w:r>
      <w:r w:rsidR="00171EEF" w:rsidRPr="00A41C37">
        <w:rPr>
          <w:rFonts w:ascii="Arial" w:hAnsi="Arial" w:cs="Arial"/>
        </w:rPr>
        <w:t xml:space="preserve"> </w:t>
      </w:r>
      <w:r w:rsidR="00C84A39">
        <w:rPr>
          <w:rFonts w:ascii="Arial" w:hAnsi="Arial" w:cs="Arial"/>
        </w:rPr>
        <w:t xml:space="preserve">As at paragraph </w:t>
      </w:r>
      <w:r>
        <w:rPr>
          <w:rFonts w:ascii="Arial" w:hAnsi="Arial" w:cs="Arial"/>
        </w:rPr>
        <w:t>6</w:t>
      </w:r>
      <w:r w:rsidR="00C84A39">
        <w:rPr>
          <w:rFonts w:ascii="Arial" w:hAnsi="Arial" w:cs="Arial"/>
        </w:rPr>
        <w:t xml:space="preserve"> we think the likely explanation is related to Covid and solicitors prioritising more certain claims as well as general </w:t>
      </w:r>
      <w:r w:rsidR="00E87096">
        <w:rPr>
          <w:rFonts w:ascii="Arial" w:hAnsi="Arial" w:cs="Arial"/>
        </w:rPr>
        <w:t>improvements</w:t>
      </w:r>
      <w:r w:rsidR="00C84A39">
        <w:rPr>
          <w:rFonts w:ascii="Arial" w:hAnsi="Arial" w:cs="Arial"/>
        </w:rPr>
        <w:t xml:space="preserve"> in understanding of the 2012 Act regime. </w:t>
      </w:r>
    </w:p>
    <w:p w14:paraId="14C60D32" w14:textId="77777777" w:rsidR="008F0188" w:rsidRPr="00EF7E14" w:rsidRDefault="008F0188" w:rsidP="008F0188">
      <w:pPr>
        <w:pStyle w:val="ListParagraph"/>
        <w:ind w:left="360"/>
        <w:jc w:val="both"/>
        <w:rPr>
          <w:rFonts w:ascii="Arial" w:hAnsi="Arial" w:cs="Arial"/>
        </w:rPr>
      </w:pPr>
    </w:p>
    <w:p w14:paraId="34658322" w14:textId="3D8403F7" w:rsidR="0075182C" w:rsidRPr="005F6340" w:rsidRDefault="00A032BD" w:rsidP="005F6340">
      <w:pPr>
        <w:spacing w:after="160" w:line="259" w:lineRule="auto"/>
        <w:rPr>
          <w:rFonts w:ascii="Arial" w:hAnsi="Arial" w:cs="Arial"/>
          <w:b/>
          <w:bCs/>
        </w:rPr>
      </w:pPr>
      <w:r w:rsidRPr="005F6340">
        <w:rPr>
          <w:rFonts w:ascii="Arial" w:hAnsi="Arial" w:cs="Arial"/>
          <w:b/>
          <w:bCs/>
        </w:rPr>
        <w:t>Sums</w:t>
      </w:r>
      <w:r w:rsidR="0075182C" w:rsidRPr="005F6340">
        <w:rPr>
          <w:rFonts w:ascii="Arial" w:hAnsi="Arial" w:cs="Arial"/>
          <w:b/>
          <w:bCs/>
        </w:rPr>
        <w:t xml:space="preserve"> claimed against </w:t>
      </w:r>
      <w:r w:rsidRPr="005F6340">
        <w:rPr>
          <w:rFonts w:ascii="Arial" w:hAnsi="Arial" w:cs="Arial"/>
          <w:b/>
          <w:bCs/>
        </w:rPr>
        <w:t>sums paid</w:t>
      </w:r>
    </w:p>
    <w:p w14:paraId="79DAC089" w14:textId="2CB402AA" w:rsidR="00366624" w:rsidRDefault="00366624" w:rsidP="00366624">
      <w:pPr>
        <w:ind w:left="426"/>
        <w:jc w:val="both"/>
        <w:rPr>
          <w:rFonts w:ascii="Arial" w:hAnsi="Arial" w:cs="Arial"/>
        </w:rPr>
      </w:pPr>
      <w:r>
        <w:rPr>
          <w:noProof/>
        </w:rPr>
        <w:drawing>
          <wp:inline distT="0" distB="0" distL="0" distR="0" wp14:anchorId="10D70655" wp14:editId="46564E4B">
            <wp:extent cx="5120640" cy="2895600"/>
            <wp:effectExtent l="0" t="0" r="3810" b="0"/>
            <wp:docPr id="3" name="Chart 3">
              <a:extLst xmlns:a="http://schemas.openxmlformats.org/drawingml/2006/main">
                <a:ext uri="{FF2B5EF4-FFF2-40B4-BE49-F238E27FC236}">
                  <a16:creationId xmlns:a16="http://schemas.microsoft.com/office/drawing/2014/main" id="{11C17E2D-11F7-495F-B552-19A06F42A7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4FB430" w14:textId="77777777" w:rsidR="00366624" w:rsidRDefault="00366624" w:rsidP="008F0188">
      <w:pPr>
        <w:jc w:val="both"/>
        <w:rPr>
          <w:rFonts w:ascii="Arial" w:hAnsi="Arial" w:cs="Arial"/>
        </w:rPr>
      </w:pPr>
    </w:p>
    <w:p w14:paraId="1C739792" w14:textId="423D8679" w:rsidR="0075182C" w:rsidRPr="00007733" w:rsidRDefault="00007733" w:rsidP="00007733">
      <w:pPr>
        <w:jc w:val="both"/>
        <w:rPr>
          <w:rFonts w:ascii="Arial" w:hAnsi="Arial" w:cs="Arial"/>
          <w:b/>
          <w:bCs/>
        </w:rPr>
      </w:pPr>
      <w:r>
        <w:rPr>
          <w:rFonts w:ascii="Arial" w:hAnsi="Arial" w:cs="Arial"/>
        </w:rPr>
        <w:t>8</w:t>
      </w:r>
      <w:r>
        <w:rPr>
          <w:rFonts w:ascii="Arial" w:hAnsi="Arial" w:cs="Arial"/>
        </w:rPr>
        <w:tab/>
      </w:r>
      <w:r w:rsidR="002C4794" w:rsidRPr="00007733">
        <w:rPr>
          <w:rFonts w:ascii="Arial" w:hAnsi="Arial" w:cs="Arial"/>
        </w:rPr>
        <w:t>The</w:t>
      </w:r>
      <w:r w:rsidR="00C84A39" w:rsidRPr="00007733">
        <w:rPr>
          <w:rFonts w:ascii="Arial" w:hAnsi="Arial" w:cs="Arial"/>
        </w:rPr>
        <w:t xml:space="preserve"> story of sums paid against sums claimed is similar</w:t>
      </w:r>
      <w:r w:rsidR="003714FC" w:rsidRPr="00007733">
        <w:rPr>
          <w:rFonts w:ascii="Arial" w:hAnsi="Arial" w:cs="Arial"/>
        </w:rPr>
        <w:t xml:space="preserve"> to that at </w:t>
      </w:r>
      <w:r>
        <w:rPr>
          <w:rFonts w:ascii="Arial" w:hAnsi="Arial" w:cs="Arial"/>
        </w:rPr>
        <w:t>paragraphs 6 and 7</w:t>
      </w:r>
      <w:r w:rsidR="003714FC" w:rsidRPr="00007733">
        <w:rPr>
          <w:rFonts w:ascii="Arial" w:hAnsi="Arial" w:cs="Arial"/>
        </w:rPr>
        <w:t xml:space="preserve"> above in that the delta between amount claimed and amount paid has reduced. </w:t>
      </w:r>
    </w:p>
    <w:p w14:paraId="163724B2" w14:textId="77777777" w:rsidR="005A7301" w:rsidRDefault="005A7301" w:rsidP="00616DCB">
      <w:pPr>
        <w:pStyle w:val="ListParagraph"/>
        <w:ind w:left="360"/>
        <w:jc w:val="both"/>
        <w:rPr>
          <w:rFonts w:ascii="Arial" w:hAnsi="Arial" w:cs="Arial"/>
          <w:b/>
          <w:bCs/>
        </w:rPr>
      </w:pPr>
    </w:p>
    <w:p w14:paraId="636291DB" w14:textId="6873C056" w:rsidR="0075182C" w:rsidRPr="002E3514" w:rsidRDefault="0075182C" w:rsidP="00E30D3F">
      <w:pPr>
        <w:pStyle w:val="ListParagraph"/>
        <w:ind w:left="360"/>
        <w:jc w:val="both"/>
        <w:rPr>
          <w:rFonts w:ascii="Arial" w:hAnsi="Arial" w:cs="Arial"/>
          <w:b/>
          <w:bCs/>
        </w:rPr>
      </w:pPr>
      <w:r w:rsidRPr="008F0188">
        <w:rPr>
          <w:rFonts w:ascii="Arial" w:hAnsi="Arial" w:cs="Arial"/>
          <w:b/>
          <w:bCs/>
        </w:rPr>
        <w:t>Range of compensation payments made</w:t>
      </w:r>
    </w:p>
    <w:p w14:paraId="57825D7E" w14:textId="519757D5" w:rsidR="0075182C" w:rsidRDefault="0075182C" w:rsidP="008F0188">
      <w:pPr>
        <w:jc w:val="both"/>
        <w:rPr>
          <w:rFonts w:ascii="Arial" w:hAnsi="Arial" w:cs="Arial"/>
          <w:b/>
          <w:bCs/>
        </w:rPr>
      </w:pPr>
    </w:p>
    <w:p w14:paraId="361175A6" w14:textId="31D1D97B" w:rsidR="00366624" w:rsidRDefault="00366624" w:rsidP="00E30D3F">
      <w:pPr>
        <w:ind w:left="426"/>
        <w:jc w:val="both"/>
        <w:rPr>
          <w:rFonts w:ascii="Arial" w:hAnsi="Arial" w:cs="Arial"/>
          <w:b/>
          <w:bCs/>
        </w:rPr>
      </w:pPr>
      <w:r>
        <w:rPr>
          <w:noProof/>
        </w:rPr>
        <w:drawing>
          <wp:inline distT="0" distB="0" distL="0" distR="0" wp14:anchorId="5A911428" wp14:editId="5848524D">
            <wp:extent cx="5168348" cy="2782956"/>
            <wp:effectExtent l="0" t="0" r="13335" b="17780"/>
            <wp:docPr id="5" name="Chart 5">
              <a:extLst xmlns:a="http://schemas.openxmlformats.org/drawingml/2006/main">
                <a:ext uri="{FF2B5EF4-FFF2-40B4-BE49-F238E27FC236}">
                  <a16:creationId xmlns:a16="http://schemas.microsoft.com/office/drawing/2014/main" id="{0022E0B4-DBB9-402E-92B1-626BFB75F8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F4BD93" w14:textId="77777777" w:rsidR="00366624" w:rsidRDefault="00366624" w:rsidP="008F0188">
      <w:pPr>
        <w:jc w:val="both"/>
        <w:rPr>
          <w:rFonts w:ascii="Arial" w:hAnsi="Arial" w:cs="Arial"/>
          <w:b/>
          <w:bCs/>
        </w:rPr>
      </w:pPr>
    </w:p>
    <w:p w14:paraId="44E981F9" w14:textId="3C45CFC4" w:rsidR="002A3BB0" w:rsidRDefault="00007733" w:rsidP="005F6340">
      <w:pPr>
        <w:jc w:val="both"/>
        <w:rPr>
          <w:rFonts w:ascii="Arial" w:hAnsi="Arial" w:cs="Arial"/>
        </w:rPr>
      </w:pPr>
      <w:r>
        <w:rPr>
          <w:rFonts w:ascii="Arial" w:hAnsi="Arial" w:cs="Arial"/>
        </w:rPr>
        <w:lastRenderedPageBreak/>
        <w:t>9</w:t>
      </w:r>
      <w:r>
        <w:rPr>
          <w:rFonts w:ascii="Arial" w:hAnsi="Arial" w:cs="Arial"/>
        </w:rPr>
        <w:tab/>
      </w:r>
      <w:r w:rsidR="0075182C" w:rsidRPr="008F0188">
        <w:rPr>
          <w:rFonts w:ascii="Arial" w:hAnsi="Arial" w:cs="Arial"/>
        </w:rPr>
        <w:t xml:space="preserve">A reduction is seen across all payment bands to the year 2020-21. </w:t>
      </w:r>
      <w:r w:rsidR="00EF7E14" w:rsidRPr="008F0188">
        <w:rPr>
          <w:rFonts w:ascii="Arial" w:hAnsi="Arial" w:cs="Arial"/>
        </w:rPr>
        <w:t xml:space="preserve"> </w:t>
      </w:r>
      <w:r w:rsidR="0075182C" w:rsidRPr="008F0188">
        <w:rPr>
          <w:rFonts w:ascii="Arial" w:hAnsi="Arial" w:cs="Arial"/>
        </w:rPr>
        <w:t>The largest drop is observed in the £0 – 149 bracket with a 78% decrease in payments.</w:t>
      </w:r>
      <w:r w:rsidR="00EF7E14" w:rsidRPr="008F0188">
        <w:rPr>
          <w:rFonts w:ascii="Arial" w:hAnsi="Arial" w:cs="Arial"/>
        </w:rPr>
        <w:t xml:space="preserve">  T</w:t>
      </w:r>
      <w:r w:rsidR="0075182C" w:rsidRPr="008F0188">
        <w:rPr>
          <w:rFonts w:ascii="Arial" w:hAnsi="Arial" w:cs="Arial"/>
        </w:rPr>
        <w:t>his falls as the payment amount increases, with the smallest decrease (2</w:t>
      </w:r>
      <w:r w:rsidR="00854043">
        <w:rPr>
          <w:rFonts w:ascii="Arial" w:hAnsi="Arial" w:cs="Arial"/>
        </w:rPr>
        <w:t>1</w:t>
      </w:r>
      <w:r w:rsidR="0075182C" w:rsidRPr="008F0188">
        <w:rPr>
          <w:rFonts w:ascii="Arial" w:hAnsi="Arial" w:cs="Arial"/>
        </w:rPr>
        <w:t>%) being observed in the £10,000 and above bracket.</w:t>
      </w:r>
      <w:r w:rsidR="002C4794">
        <w:rPr>
          <w:rFonts w:ascii="Arial" w:hAnsi="Arial" w:cs="Arial"/>
        </w:rPr>
        <w:t xml:space="preserve">  This </w:t>
      </w:r>
      <w:r w:rsidR="00E87096">
        <w:rPr>
          <w:rFonts w:ascii="Arial" w:hAnsi="Arial" w:cs="Arial"/>
        </w:rPr>
        <w:t>is consistent with the analysis above</w:t>
      </w:r>
      <w:r w:rsidR="005A7301">
        <w:rPr>
          <w:rFonts w:ascii="Arial" w:hAnsi="Arial" w:cs="Arial"/>
        </w:rPr>
        <w:t>,</w:t>
      </w:r>
      <w:r w:rsidR="002C4794">
        <w:rPr>
          <w:rFonts w:ascii="Arial" w:hAnsi="Arial" w:cs="Arial"/>
        </w:rPr>
        <w:t xml:space="preserve"> that claimants may be less prepared to pursue smaller losses but larger losses continue to be claimed.</w:t>
      </w:r>
    </w:p>
    <w:p w14:paraId="5D4077E1" w14:textId="77777777" w:rsidR="005F6340" w:rsidRDefault="005F6340" w:rsidP="005F6340">
      <w:pPr>
        <w:jc w:val="both"/>
        <w:rPr>
          <w:rFonts w:ascii="Arial" w:hAnsi="Arial" w:cs="Arial"/>
          <w:b/>
          <w:bCs/>
        </w:rPr>
      </w:pPr>
    </w:p>
    <w:p w14:paraId="10D6E412" w14:textId="3A03F562" w:rsidR="0075182C" w:rsidRPr="008C0C48" w:rsidRDefault="00E87096" w:rsidP="008F0188">
      <w:pPr>
        <w:jc w:val="both"/>
        <w:rPr>
          <w:rFonts w:ascii="Arial" w:hAnsi="Arial" w:cs="Arial"/>
          <w:b/>
          <w:bCs/>
        </w:rPr>
      </w:pPr>
      <w:r w:rsidRPr="008C0C48">
        <w:rPr>
          <w:rFonts w:ascii="Arial" w:hAnsi="Arial" w:cs="Arial"/>
          <w:b/>
          <w:bCs/>
        </w:rPr>
        <w:t xml:space="preserve">Assurance sources </w:t>
      </w:r>
    </w:p>
    <w:p w14:paraId="63FD52CC" w14:textId="085E4A1C" w:rsidR="00E87096" w:rsidRDefault="00E87096" w:rsidP="008F0188">
      <w:pPr>
        <w:jc w:val="both"/>
        <w:rPr>
          <w:rFonts w:ascii="Arial" w:hAnsi="Arial" w:cs="Arial"/>
        </w:rPr>
      </w:pPr>
    </w:p>
    <w:p w14:paraId="75129944" w14:textId="4299FE18" w:rsidR="005A7301" w:rsidRDefault="00007733" w:rsidP="008F0188">
      <w:pPr>
        <w:jc w:val="both"/>
        <w:rPr>
          <w:rFonts w:ascii="Arial" w:hAnsi="Arial" w:cs="Arial"/>
        </w:rPr>
      </w:pPr>
      <w:r>
        <w:rPr>
          <w:rFonts w:ascii="Arial" w:hAnsi="Arial" w:cs="Arial"/>
        </w:rPr>
        <w:t>10</w:t>
      </w:r>
      <w:r>
        <w:rPr>
          <w:rFonts w:ascii="Arial" w:hAnsi="Arial" w:cs="Arial"/>
        </w:rPr>
        <w:tab/>
      </w:r>
      <w:r w:rsidR="005A7301">
        <w:rPr>
          <w:rFonts w:ascii="Arial" w:hAnsi="Arial" w:cs="Arial"/>
        </w:rPr>
        <w:t>RoS procures assurance in respect of compensation claims from a range of sources.</w:t>
      </w:r>
    </w:p>
    <w:p w14:paraId="338925C6" w14:textId="77777777" w:rsidR="00F20B06" w:rsidRDefault="00F20B06" w:rsidP="008F0188">
      <w:pPr>
        <w:jc w:val="both"/>
        <w:rPr>
          <w:rFonts w:ascii="Arial" w:hAnsi="Arial" w:cs="Arial"/>
        </w:rPr>
      </w:pPr>
    </w:p>
    <w:p w14:paraId="18BED33F" w14:textId="3B8A578C" w:rsidR="00F20B06" w:rsidRPr="008C0C48" w:rsidRDefault="00F20B06" w:rsidP="008F0188">
      <w:pPr>
        <w:jc w:val="both"/>
        <w:rPr>
          <w:rFonts w:ascii="Arial" w:hAnsi="Arial" w:cs="Arial"/>
          <w:i/>
          <w:iCs/>
        </w:rPr>
      </w:pPr>
      <w:r w:rsidRPr="008C0C48">
        <w:rPr>
          <w:rFonts w:ascii="Arial" w:hAnsi="Arial" w:cs="Arial"/>
          <w:i/>
          <w:iCs/>
        </w:rPr>
        <w:t>Assessment and payment</w:t>
      </w:r>
    </w:p>
    <w:p w14:paraId="30422F89" w14:textId="77777777" w:rsidR="00007733" w:rsidRDefault="00007733" w:rsidP="00007733">
      <w:pPr>
        <w:jc w:val="both"/>
        <w:rPr>
          <w:rFonts w:ascii="Arial" w:hAnsi="Arial" w:cs="Arial"/>
        </w:rPr>
      </w:pPr>
    </w:p>
    <w:p w14:paraId="37E3364E" w14:textId="33213206" w:rsidR="00F20B06" w:rsidRDefault="008C0C48" w:rsidP="008F0188">
      <w:pPr>
        <w:jc w:val="both"/>
        <w:rPr>
          <w:rFonts w:ascii="Arial" w:hAnsi="Arial" w:cs="Arial"/>
        </w:rPr>
      </w:pPr>
      <w:r>
        <w:rPr>
          <w:rFonts w:ascii="Arial" w:hAnsi="Arial" w:cs="Arial"/>
        </w:rPr>
        <w:t>11</w:t>
      </w:r>
      <w:r>
        <w:rPr>
          <w:rFonts w:ascii="Arial" w:hAnsi="Arial" w:cs="Arial"/>
        </w:rPr>
        <w:tab/>
      </w:r>
      <w:r w:rsidR="00007733">
        <w:rPr>
          <w:rFonts w:ascii="Arial" w:hAnsi="Arial" w:cs="Arial"/>
        </w:rPr>
        <w:t xml:space="preserve">The compensation team is subject to robust internal controls to mitigate the risk of internal fraud or collusion.   </w:t>
      </w:r>
    </w:p>
    <w:p w14:paraId="01ABD8CD" w14:textId="77777777" w:rsidR="00F20B06" w:rsidRDefault="00F20B06" w:rsidP="008F0188">
      <w:pPr>
        <w:jc w:val="both"/>
        <w:rPr>
          <w:rFonts w:ascii="Arial" w:hAnsi="Arial" w:cs="Arial"/>
        </w:rPr>
      </w:pPr>
    </w:p>
    <w:p w14:paraId="63EBA1E3" w14:textId="6A346AD7" w:rsidR="00131277" w:rsidRDefault="008C0C48" w:rsidP="008F0188">
      <w:pPr>
        <w:jc w:val="both"/>
        <w:rPr>
          <w:rFonts w:ascii="Arial" w:hAnsi="Arial" w:cs="Arial"/>
        </w:rPr>
      </w:pPr>
      <w:r>
        <w:rPr>
          <w:rFonts w:ascii="Arial" w:hAnsi="Arial" w:cs="Arial"/>
        </w:rPr>
        <w:t>12</w:t>
      </w:r>
      <w:r>
        <w:rPr>
          <w:rFonts w:ascii="Arial" w:hAnsi="Arial" w:cs="Arial"/>
        </w:rPr>
        <w:tab/>
      </w:r>
      <w:r w:rsidR="005A7301">
        <w:rPr>
          <w:rFonts w:ascii="Arial" w:hAnsi="Arial" w:cs="Arial"/>
        </w:rPr>
        <w:t>Claims for compensation must first be evidenced by a loss</w:t>
      </w:r>
      <w:r w:rsidR="00131277">
        <w:rPr>
          <w:rFonts w:ascii="Arial" w:hAnsi="Arial" w:cs="Arial"/>
        </w:rPr>
        <w:t xml:space="preserve">.  Compensation team seek evidence of the </w:t>
      </w:r>
      <w:r w:rsidR="006E77DB">
        <w:rPr>
          <w:rFonts w:ascii="Arial" w:hAnsi="Arial" w:cs="Arial"/>
        </w:rPr>
        <w:t>event</w:t>
      </w:r>
      <w:r w:rsidR="00131277">
        <w:rPr>
          <w:rFonts w:ascii="Arial" w:hAnsi="Arial" w:cs="Arial"/>
        </w:rPr>
        <w:t xml:space="preserve"> which created the loss (eg rectification) as well as the loss itself from the claimant.  Each claim is corroborated by Compensation using our internal systems,</w:t>
      </w:r>
      <w:r w:rsidR="00F20B06">
        <w:rPr>
          <w:rFonts w:ascii="Arial" w:hAnsi="Arial" w:cs="Arial"/>
        </w:rPr>
        <w:t xml:space="preserve"> </w:t>
      </w:r>
      <w:r w:rsidR="00131277">
        <w:rPr>
          <w:rFonts w:ascii="Arial" w:hAnsi="Arial" w:cs="Arial"/>
        </w:rPr>
        <w:t xml:space="preserve">for example Compensation will check internal registration systems for evidence of the rectification which led to the loss, thus </w:t>
      </w:r>
      <w:r w:rsidR="006E77DB">
        <w:rPr>
          <w:rFonts w:ascii="Arial" w:hAnsi="Arial" w:cs="Arial"/>
        </w:rPr>
        <w:t>improving the ability to detect premature or fraudulent claims for compensation.</w:t>
      </w:r>
    </w:p>
    <w:p w14:paraId="7B97F27C" w14:textId="77777777" w:rsidR="00131277" w:rsidRDefault="00131277" w:rsidP="008F0188">
      <w:pPr>
        <w:jc w:val="both"/>
        <w:rPr>
          <w:rFonts w:ascii="Arial" w:hAnsi="Arial" w:cs="Arial"/>
        </w:rPr>
      </w:pPr>
    </w:p>
    <w:p w14:paraId="31F79F45" w14:textId="5901CCBD" w:rsidR="005A7301" w:rsidRDefault="008C0C48" w:rsidP="008F0188">
      <w:pPr>
        <w:jc w:val="both"/>
        <w:rPr>
          <w:rFonts w:ascii="Arial" w:hAnsi="Arial" w:cs="Arial"/>
        </w:rPr>
      </w:pPr>
      <w:r>
        <w:rPr>
          <w:rFonts w:ascii="Arial" w:hAnsi="Arial" w:cs="Arial"/>
        </w:rPr>
        <w:t>13</w:t>
      </w:r>
      <w:r>
        <w:rPr>
          <w:rFonts w:ascii="Arial" w:hAnsi="Arial" w:cs="Arial"/>
        </w:rPr>
        <w:tab/>
      </w:r>
      <w:r w:rsidR="005A7301">
        <w:rPr>
          <w:rFonts w:ascii="Arial" w:hAnsi="Arial" w:cs="Arial"/>
        </w:rPr>
        <w:t xml:space="preserve">Once a claim has been assessed and agreed, Compensation team requests Finance to make payment, with the request </w:t>
      </w:r>
      <w:r w:rsidR="00F20B06">
        <w:rPr>
          <w:rFonts w:ascii="Arial" w:hAnsi="Arial" w:cs="Arial"/>
        </w:rPr>
        <w:t>being made by officers holding the requisite payment authority appropriate to the claim amount</w:t>
      </w:r>
      <w:r w:rsidR="006E77DB">
        <w:rPr>
          <w:rFonts w:ascii="Arial" w:hAnsi="Arial" w:cs="Arial"/>
        </w:rPr>
        <w:t>, and the payment process is subject to strict controls</w:t>
      </w:r>
      <w:r w:rsidR="005A7301">
        <w:rPr>
          <w:rFonts w:ascii="Arial" w:hAnsi="Arial" w:cs="Arial"/>
        </w:rPr>
        <w:t>.  Payment is ordinarily made to solicitors acting on behalf of the claimant</w:t>
      </w:r>
      <w:r w:rsidR="00DE43C5">
        <w:rPr>
          <w:rFonts w:ascii="Arial" w:hAnsi="Arial" w:cs="Arial"/>
        </w:rPr>
        <w:t xml:space="preserve"> to the account details held on file for that solicitor</w:t>
      </w:r>
      <w:r w:rsidR="005A7301">
        <w:rPr>
          <w:rFonts w:ascii="Arial" w:hAnsi="Arial" w:cs="Arial"/>
        </w:rPr>
        <w:t xml:space="preserve"> therefore providing an extra level of assurance</w:t>
      </w:r>
      <w:r w:rsidR="00DE43C5">
        <w:rPr>
          <w:rFonts w:ascii="Arial" w:hAnsi="Arial" w:cs="Arial"/>
        </w:rPr>
        <w:t>.</w:t>
      </w:r>
    </w:p>
    <w:p w14:paraId="4555E820" w14:textId="0BB6DF4E" w:rsidR="00F20B06" w:rsidRDefault="00F20B06" w:rsidP="008F0188">
      <w:pPr>
        <w:jc w:val="both"/>
        <w:rPr>
          <w:rFonts w:ascii="Arial" w:hAnsi="Arial" w:cs="Arial"/>
        </w:rPr>
      </w:pPr>
    </w:p>
    <w:p w14:paraId="1B88F0FD" w14:textId="5D61DE9B" w:rsidR="00142D55" w:rsidRDefault="008C0C48" w:rsidP="00142D55">
      <w:pPr>
        <w:jc w:val="both"/>
        <w:rPr>
          <w:rFonts w:ascii="Arial" w:hAnsi="Arial" w:cs="Arial"/>
        </w:rPr>
      </w:pPr>
      <w:r>
        <w:rPr>
          <w:rFonts w:ascii="Arial" w:hAnsi="Arial" w:cs="Arial"/>
        </w:rPr>
        <w:t>14</w:t>
      </w:r>
      <w:r>
        <w:rPr>
          <w:rFonts w:ascii="Arial" w:hAnsi="Arial" w:cs="Arial"/>
        </w:rPr>
        <w:tab/>
      </w:r>
      <w:r w:rsidR="00F20B06">
        <w:rPr>
          <w:rFonts w:ascii="Arial" w:hAnsi="Arial" w:cs="Arial"/>
        </w:rPr>
        <w:t xml:space="preserve">Finance and Compensation </w:t>
      </w:r>
      <w:r w:rsidR="008F529F">
        <w:rPr>
          <w:rFonts w:ascii="Arial" w:hAnsi="Arial" w:cs="Arial"/>
        </w:rPr>
        <w:t xml:space="preserve">meet regularly to discuss </w:t>
      </w:r>
      <w:r w:rsidR="00F20B06">
        <w:rPr>
          <w:rFonts w:ascii="Arial" w:hAnsi="Arial" w:cs="Arial"/>
        </w:rPr>
        <w:t>budgets and anticipate future spend, with regular reports being provided to the Accountable Officer.</w:t>
      </w:r>
      <w:r w:rsidR="00131277">
        <w:rPr>
          <w:rFonts w:ascii="Arial" w:hAnsi="Arial" w:cs="Arial"/>
        </w:rPr>
        <w:t xml:space="preserve">  </w:t>
      </w:r>
      <w:r w:rsidR="00142D55">
        <w:rPr>
          <w:rFonts w:ascii="Arial" w:hAnsi="Arial" w:cs="Arial"/>
        </w:rPr>
        <w:t xml:space="preserve">As eligibility, assessment and payment of claims involve three different departments across two directorates, this lends transparency.  </w:t>
      </w:r>
    </w:p>
    <w:p w14:paraId="1F437274" w14:textId="6F91E775" w:rsidR="00F20B06" w:rsidRDefault="00F20B06" w:rsidP="008F0188">
      <w:pPr>
        <w:jc w:val="both"/>
        <w:rPr>
          <w:rFonts w:ascii="Arial" w:hAnsi="Arial" w:cs="Arial"/>
        </w:rPr>
      </w:pPr>
    </w:p>
    <w:p w14:paraId="6CA1E59C" w14:textId="043A707D" w:rsidR="00007733" w:rsidRPr="008C0C48" w:rsidRDefault="00007733" w:rsidP="008F0188">
      <w:pPr>
        <w:jc w:val="both"/>
        <w:rPr>
          <w:rFonts w:ascii="Arial" w:hAnsi="Arial" w:cs="Arial"/>
          <w:i/>
          <w:iCs/>
        </w:rPr>
      </w:pPr>
      <w:r w:rsidRPr="008C0C48">
        <w:rPr>
          <w:rFonts w:ascii="Arial" w:hAnsi="Arial" w:cs="Arial"/>
          <w:i/>
          <w:iCs/>
        </w:rPr>
        <w:t>Corporate oversight</w:t>
      </w:r>
    </w:p>
    <w:p w14:paraId="4220E5FF" w14:textId="0324514A" w:rsidR="00F20B06" w:rsidRDefault="00F20B06" w:rsidP="008F0188">
      <w:pPr>
        <w:jc w:val="both"/>
        <w:rPr>
          <w:rFonts w:ascii="Arial" w:hAnsi="Arial" w:cs="Arial"/>
        </w:rPr>
      </w:pPr>
    </w:p>
    <w:p w14:paraId="234F3BB5" w14:textId="653806F6" w:rsidR="00F20B06" w:rsidRDefault="008C0C48" w:rsidP="008F0188">
      <w:pPr>
        <w:jc w:val="both"/>
        <w:rPr>
          <w:rFonts w:ascii="Arial" w:hAnsi="Arial" w:cs="Arial"/>
        </w:rPr>
      </w:pPr>
      <w:r>
        <w:rPr>
          <w:rFonts w:ascii="Arial" w:hAnsi="Arial" w:cs="Arial"/>
        </w:rPr>
        <w:t>15</w:t>
      </w:r>
      <w:r>
        <w:rPr>
          <w:rFonts w:ascii="Arial" w:hAnsi="Arial" w:cs="Arial"/>
        </w:rPr>
        <w:tab/>
      </w:r>
      <w:r w:rsidR="00F20B06">
        <w:rPr>
          <w:rFonts w:ascii="Arial" w:hAnsi="Arial" w:cs="Arial"/>
        </w:rPr>
        <w:t>Following consideration by Audit and Risk Committee, Internal Audit colleagues from Scottish Government carried out an audit of Compensation</w:t>
      </w:r>
      <w:r w:rsidR="00DE43C5">
        <w:rPr>
          <w:rFonts w:ascii="Arial" w:hAnsi="Arial" w:cs="Arial"/>
        </w:rPr>
        <w:t xml:space="preserve"> </w:t>
      </w:r>
      <w:r w:rsidR="00F20B06">
        <w:rPr>
          <w:rFonts w:ascii="Arial" w:hAnsi="Arial" w:cs="Arial"/>
        </w:rPr>
        <w:t xml:space="preserve">in </w:t>
      </w:r>
      <w:r w:rsidR="00DE43C5">
        <w:rPr>
          <w:rFonts w:ascii="Arial" w:hAnsi="Arial" w:cs="Arial"/>
        </w:rPr>
        <w:t>2020</w:t>
      </w:r>
      <w:r w:rsidR="006C1144">
        <w:rPr>
          <w:rFonts w:ascii="Arial" w:hAnsi="Arial" w:cs="Arial"/>
        </w:rPr>
        <w:t xml:space="preserve"> </w:t>
      </w:r>
      <w:r w:rsidR="00DE43C5">
        <w:rPr>
          <w:rFonts w:ascii="Arial" w:hAnsi="Arial" w:cs="Arial"/>
        </w:rPr>
        <w:t>which concluded with</w:t>
      </w:r>
      <w:r w:rsidR="006C1144">
        <w:rPr>
          <w:rFonts w:ascii="Arial" w:hAnsi="Arial" w:cs="Arial"/>
        </w:rPr>
        <w:t xml:space="preserve"> two recommendation</w:t>
      </w:r>
      <w:r w:rsidR="006E77DB">
        <w:rPr>
          <w:rFonts w:ascii="Arial" w:hAnsi="Arial" w:cs="Arial"/>
        </w:rPr>
        <w:t>s, these being</w:t>
      </w:r>
      <w:r w:rsidR="006C1144">
        <w:rPr>
          <w:rFonts w:ascii="Arial" w:hAnsi="Arial" w:cs="Arial"/>
        </w:rPr>
        <w:t xml:space="preserve"> to introduce </w:t>
      </w:r>
      <w:r>
        <w:rPr>
          <w:rFonts w:ascii="Arial" w:hAnsi="Arial" w:cs="Arial"/>
        </w:rPr>
        <w:t>regular internal</w:t>
      </w:r>
      <w:r w:rsidR="006C1144">
        <w:rPr>
          <w:rFonts w:ascii="Arial" w:hAnsi="Arial" w:cs="Arial"/>
        </w:rPr>
        <w:t xml:space="preserve"> QA checks and </w:t>
      </w:r>
      <w:r>
        <w:rPr>
          <w:rFonts w:ascii="Arial" w:hAnsi="Arial" w:cs="Arial"/>
        </w:rPr>
        <w:t xml:space="preserve">monthly </w:t>
      </w:r>
      <w:r w:rsidR="006C1144">
        <w:rPr>
          <w:rFonts w:ascii="Arial" w:hAnsi="Arial" w:cs="Arial"/>
        </w:rPr>
        <w:t>evidenced sample checks conducted by a senior manager.  These</w:t>
      </w:r>
      <w:r w:rsidR="006E77DB">
        <w:rPr>
          <w:rFonts w:ascii="Arial" w:hAnsi="Arial" w:cs="Arial"/>
        </w:rPr>
        <w:t xml:space="preserve"> improvements</w:t>
      </w:r>
      <w:r w:rsidR="006C1144">
        <w:rPr>
          <w:rFonts w:ascii="Arial" w:hAnsi="Arial" w:cs="Arial"/>
        </w:rPr>
        <w:t xml:space="preserve"> </w:t>
      </w:r>
      <w:r w:rsidR="00DE43C5">
        <w:rPr>
          <w:rFonts w:ascii="Arial" w:hAnsi="Arial" w:cs="Arial"/>
        </w:rPr>
        <w:t>were</w:t>
      </w:r>
      <w:r w:rsidR="006C1144">
        <w:rPr>
          <w:rFonts w:ascii="Arial" w:hAnsi="Arial" w:cs="Arial"/>
        </w:rPr>
        <w:t xml:space="preserve"> implemented</w:t>
      </w:r>
      <w:r w:rsidR="00DE43C5">
        <w:rPr>
          <w:rFonts w:ascii="Arial" w:hAnsi="Arial" w:cs="Arial"/>
        </w:rPr>
        <w:t xml:space="preserve"> </w:t>
      </w:r>
      <w:r w:rsidR="00142D55">
        <w:rPr>
          <w:rFonts w:ascii="Arial" w:hAnsi="Arial" w:cs="Arial"/>
        </w:rPr>
        <w:t>by</w:t>
      </w:r>
      <w:r w:rsidR="00DE43C5">
        <w:rPr>
          <w:rFonts w:ascii="Arial" w:hAnsi="Arial" w:cs="Arial"/>
        </w:rPr>
        <w:t xml:space="preserve"> April 2021.</w:t>
      </w:r>
    </w:p>
    <w:p w14:paraId="7E980F92" w14:textId="2A9A4362" w:rsidR="00DE43C5" w:rsidRDefault="00DE43C5" w:rsidP="008F0188">
      <w:pPr>
        <w:jc w:val="both"/>
        <w:rPr>
          <w:rFonts w:ascii="Arial" w:hAnsi="Arial" w:cs="Arial"/>
        </w:rPr>
      </w:pPr>
    </w:p>
    <w:p w14:paraId="7B17DD71" w14:textId="530BA507" w:rsidR="00DE43C5" w:rsidRDefault="008C0C48" w:rsidP="008F0188">
      <w:pPr>
        <w:jc w:val="both"/>
        <w:rPr>
          <w:rFonts w:ascii="Arial" w:hAnsi="Arial" w:cs="Arial"/>
        </w:rPr>
      </w:pPr>
      <w:r>
        <w:rPr>
          <w:rFonts w:ascii="Arial" w:hAnsi="Arial" w:cs="Arial"/>
        </w:rPr>
        <w:t>16</w:t>
      </w:r>
      <w:r>
        <w:rPr>
          <w:rFonts w:ascii="Arial" w:hAnsi="Arial" w:cs="Arial"/>
        </w:rPr>
        <w:tab/>
        <w:t xml:space="preserve">Compensation team provides a quarterly financial report to </w:t>
      </w:r>
      <w:r w:rsidR="006E77DB">
        <w:rPr>
          <w:rFonts w:ascii="Arial" w:hAnsi="Arial" w:cs="Arial"/>
        </w:rPr>
        <w:t>Policy and Practice Group</w:t>
      </w:r>
      <w:r w:rsidR="00DE43C5">
        <w:rPr>
          <w:rFonts w:ascii="Arial" w:hAnsi="Arial" w:cs="Arial"/>
        </w:rPr>
        <w:t xml:space="preserve"> </w:t>
      </w:r>
      <w:r>
        <w:rPr>
          <w:rFonts w:ascii="Arial" w:hAnsi="Arial" w:cs="Arial"/>
        </w:rPr>
        <w:t xml:space="preserve">and a monthly report on claims of a novel or unusual nature, if any.  </w:t>
      </w:r>
      <w:r w:rsidR="00131277">
        <w:rPr>
          <w:rFonts w:ascii="Arial" w:hAnsi="Arial" w:cs="Arial"/>
        </w:rPr>
        <w:t xml:space="preserve">The Keeper and Accountable Officer are provided with copies of this report.  All claims of a large or novel nature are discussed internally, referring to senior management and the Keeper for early sight.  </w:t>
      </w:r>
      <w:r w:rsidR="006E77DB">
        <w:rPr>
          <w:rFonts w:ascii="Arial" w:hAnsi="Arial" w:cs="Arial"/>
        </w:rPr>
        <w:t xml:space="preserve">Claims of a novel and/ or complex nature are referred to legal and policy colleagues to seek a robust view on the Keeper’s </w:t>
      </w:r>
      <w:r w:rsidR="00142D55">
        <w:rPr>
          <w:rFonts w:ascii="Arial" w:hAnsi="Arial" w:cs="Arial"/>
        </w:rPr>
        <w:t>liabilities</w:t>
      </w:r>
      <w:r w:rsidR="006E77DB">
        <w:rPr>
          <w:rFonts w:ascii="Arial" w:hAnsi="Arial" w:cs="Arial"/>
        </w:rPr>
        <w:t xml:space="preserve"> </w:t>
      </w:r>
      <w:r w:rsidR="00142D55">
        <w:rPr>
          <w:rFonts w:ascii="Arial" w:hAnsi="Arial" w:cs="Arial"/>
        </w:rPr>
        <w:t>regarding</w:t>
      </w:r>
      <w:r w:rsidR="006E77DB">
        <w:rPr>
          <w:rFonts w:ascii="Arial" w:hAnsi="Arial" w:cs="Arial"/>
        </w:rPr>
        <w:t xml:space="preserve"> the claim.</w:t>
      </w:r>
    </w:p>
    <w:p w14:paraId="0DF51C1D" w14:textId="77777777" w:rsidR="005E35CD" w:rsidRDefault="005E35CD" w:rsidP="00E50769">
      <w:pPr>
        <w:jc w:val="both"/>
        <w:rPr>
          <w:rFonts w:ascii="Arial" w:hAnsi="Arial" w:cs="Arial"/>
          <w:b/>
        </w:rPr>
      </w:pPr>
    </w:p>
    <w:p w14:paraId="0259603D" w14:textId="0BF103C5" w:rsidR="00E50769" w:rsidRPr="00326540" w:rsidRDefault="00E50769" w:rsidP="00E50769">
      <w:pPr>
        <w:jc w:val="both"/>
        <w:rPr>
          <w:rFonts w:ascii="Arial" w:hAnsi="Arial" w:cs="Arial"/>
          <w:b/>
        </w:rPr>
      </w:pPr>
      <w:r w:rsidRPr="00326540">
        <w:rPr>
          <w:rFonts w:ascii="Arial" w:hAnsi="Arial" w:cs="Arial"/>
          <w:b/>
        </w:rPr>
        <w:lastRenderedPageBreak/>
        <w:t>Loss Recovery</w:t>
      </w:r>
    </w:p>
    <w:p w14:paraId="39CDAE1F" w14:textId="77777777" w:rsidR="00E50769" w:rsidRDefault="00E50769" w:rsidP="00E50769">
      <w:pPr>
        <w:pStyle w:val="ListParagraph"/>
        <w:ind w:left="360"/>
        <w:jc w:val="both"/>
        <w:rPr>
          <w:rFonts w:ascii="Arial" w:hAnsi="Arial" w:cs="Arial"/>
          <w:bCs/>
        </w:rPr>
      </w:pPr>
    </w:p>
    <w:p w14:paraId="229DAA51" w14:textId="2B3F5828" w:rsidR="00E50769" w:rsidRPr="008C0C48" w:rsidRDefault="008C0C48" w:rsidP="008C0C48">
      <w:pPr>
        <w:jc w:val="both"/>
        <w:rPr>
          <w:rFonts w:ascii="Arial" w:hAnsi="Arial" w:cs="Arial"/>
          <w:bCs/>
        </w:rPr>
      </w:pPr>
      <w:r>
        <w:rPr>
          <w:rFonts w:ascii="Arial" w:hAnsi="Arial" w:cs="Arial"/>
          <w:bCs/>
        </w:rPr>
        <w:t>17</w:t>
      </w:r>
      <w:r>
        <w:rPr>
          <w:rFonts w:ascii="Arial" w:hAnsi="Arial" w:cs="Arial"/>
          <w:bCs/>
        </w:rPr>
        <w:tab/>
      </w:r>
      <w:r w:rsidR="00E50769" w:rsidRPr="008C0C48">
        <w:rPr>
          <w:rFonts w:ascii="Arial" w:hAnsi="Arial" w:cs="Arial"/>
          <w:bCs/>
        </w:rPr>
        <w:t>No losses were pursued or recovered during 2020/21</w:t>
      </w:r>
      <w:r w:rsidR="008853DA" w:rsidRPr="008C0C48">
        <w:rPr>
          <w:rFonts w:ascii="Arial" w:hAnsi="Arial" w:cs="Arial"/>
          <w:bCs/>
        </w:rPr>
        <w:t>.</w:t>
      </w:r>
    </w:p>
    <w:p w14:paraId="2D8174C4" w14:textId="5A695DDD" w:rsidR="00830FD7" w:rsidRDefault="00830FD7" w:rsidP="008F0188">
      <w:pPr>
        <w:jc w:val="both"/>
        <w:rPr>
          <w:rFonts w:ascii="Arial" w:hAnsi="Arial" w:cs="Arial"/>
          <w:bCs/>
        </w:rPr>
      </w:pPr>
    </w:p>
    <w:p w14:paraId="2DCBA667" w14:textId="7FD7DB3B" w:rsidR="00D71DEC" w:rsidRPr="00EF7E14" w:rsidRDefault="00D71DEC" w:rsidP="005F6340">
      <w:pPr>
        <w:spacing w:after="160" w:line="259" w:lineRule="auto"/>
        <w:rPr>
          <w:rFonts w:ascii="Arial" w:hAnsi="Arial" w:cs="Arial"/>
          <w:b/>
        </w:rPr>
      </w:pPr>
      <w:r w:rsidRPr="00EF7E14">
        <w:rPr>
          <w:rFonts w:ascii="Arial" w:hAnsi="Arial" w:cs="Arial"/>
          <w:b/>
        </w:rPr>
        <w:t xml:space="preserve">Operational improvements and their impact on compensation </w:t>
      </w:r>
    </w:p>
    <w:p w14:paraId="78BB8DD0" w14:textId="766D3915" w:rsidR="00D71DEC" w:rsidRDefault="00D71DEC" w:rsidP="008F0188">
      <w:pPr>
        <w:jc w:val="both"/>
        <w:rPr>
          <w:rFonts w:ascii="Arial" w:hAnsi="Arial" w:cs="Arial"/>
          <w:bCs/>
        </w:rPr>
      </w:pPr>
    </w:p>
    <w:p w14:paraId="5733DB5B" w14:textId="04F9C098" w:rsidR="00E836F8" w:rsidRDefault="008C0C48" w:rsidP="008F0188">
      <w:pPr>
        <w:jc w:val="both"/>
        <w:rPr>
          <w:rFonts w:ascii="Arial" w:hAnsi="Arial" w:cs="Arial"/>
          <w:bCs/>
        </w:rPr>
      </w:pPr>
      <w:r>
        <w:rPr>
          <w:rFonts w:ascii="Arial" w:hAnsi="Arial" w:cs="Arial"/>
          <w:bCs/>
        </w:rPr>
        <w:t>18</w:t>
      </w:r>
      <w:r>
        <w:rPr>
          <w:rFonts w:ascii="Arial" w:hAnsi="Arial" w:cs="Arial"/>
          <w:bCs/>
        </w:rPr>
        <w:tab/>
      </w:r>
      <w:r w:rsidR="008D7978">
        <w:rPr>
          <w:rFonts w:ascii="Arial" w:hAnsi="Arial" w:cs="Arial"/>
          <w:bCs/>
        </w:rPr>
        <w:t xml:space="preserve">Compensation claims materialise for a range of reasons.  </w:t>
      </w:r>
      <w:r w:rsidR="0029384F">
        <w:rPr>
          <w:rFonts w:ascii="Arial" w:hAnsi="Arial" w:cs="Arial"/>
          <w:bCs/>
        </w:rPr>
        <w:t>M</w:t>
      </w:r>
      <w:r w:rsidR="00A70714" w:rsidRPr="004076D2">
        <w:rPr>
          <w:rFonts w:ascii="Arial" w:hAnsi="Arial" w:cs="Arial"/>
          <w:bCs/>
        </w:rPr>
        <w:t>any of these are beyond the control of the Keeper</w:t>
      </w:r>
      <w:r w:rsidR="0029384F">
        <w:rPr>
          <w:rFonts w:ascii="Arial" w:hAnsi="Arial" w:cs="Arial"/>
          <w:bCs/>
        </w:rPr>
        <w:t>.</w:t>
      </w:r>
      <w:r w:rsidR="00A70714" w:rsidRPr="004076D2">
        <w:rPr>
          <w:rFonts w:ascii="Arial" w:hAnsi="Arial" w:cs="Arial"/>
          <w:bCs/>
        </w:rPr>
        <w:t xml:space="preserve"> </w:t>
      </w:r>
      <w:r w:rsidR="0029384F">
        <w:rPr>
          <w:rFonts w:ascii="Arial" w:hAnsi="Arial" w:cs="Arial"/>
          <w:bCs/>
        </w:rPr>
        <w:t>Those</w:t>
      </w:r>
      <w:r w:rsidR="00D8751D">
        <w:rPr>
          <w:rFonts w:ascii="Arial" w:hAnsi="Arial" w:cs="Arial"/>
          <w:bCs/>
        </w:rPr>
        <w:t xml:space="preserve"> areas</w:t>
      </w:r>
      <w:r w:rsidR="0029384F">
        <w:rPr>
          <w:rFonts w:ascii="Arial" w:hAnsi="Arial" w:cs="Arial"/>
          <w:bCs/>
        </w:rPr>
        <w:t xml:space="preserve"> where improvement</w:t>
      </w:r>
      <w:r w:rsidR="00D8751D">
        <w:rPr>
          <w:rFonts w:ascii="Arial" w:hAnsi="Arial" w:cs="Arial"/>
          <w:bCs/>
        </w:rPr>
        <w:t xml:space="preserve"> is within the Keeper’s control are covered below. </w:t>
      </w:r>
    </w:p>
    <w:p w14:paraId="1B863FD1" w14:textId="77777777" w:rsidR="00EC6818" w:rsidRPr="00B77D1C" w:rsidRDefault="00EC6818" w:rsidP="008F0188">
      <w:pPr>
        <w:jc w:val="both"/>
        <w:rPr>
          <w:rFonts w:ascii="Arial" w:hAnsi="Arial" w:cs="Arial"/>
          <w:bCs/>
        </w:rPr>
      </w:pPr>
    </w:p>
    <w:p w14:paraId="4E3C60F1" w14:textId="77777777" w:rsidR="00D71DEC" w:rsidRPr="00EF7E14" w:rsidRDefault="00D71DEC" w:rsidP="008F0188">
      <w:pPr>
        <w:jc w:val="both"/>
        <w:rPr>
          <w:rFonts w:ascii="Arial" w:hAnsi="Arial" w:cs="Arial"/>
          <w:bCs/>
          <w:i/>
          <w:iCs/>
        </w:rPr>
      </w:pPr>
      <w:r w:rsidRPr="00EF7E14">
        <w:rPr>
          <w:rFonts w:ascii="Arial" w:hAnsi="Arial" w:cs="Arial"/>
          <w:bCs/>
          <w:i/>
          <w:iCs/>
        </w:rPr>
        <w:t>Administrative errors</w:t>
      </w:r>
    </w:p>
    <w:p w14:paraId="7D5FEB78" w14:textId="77777777" w:rsidR="00D71DEC" w:rsidRPr="00B77D1C" w:rsidRDefault="00D71DEC" w:rsidP="008F0188">
      <w:pPr>
        <w:jc w:val="both"/>
        <w:rPr>
          <w:rFonts w:ascii="Arial" w:hAnsi="Arial" w:cs="Arial"/>
          <w:bCs/>
        </w:rPr>
      </w:pPr>
    </w:p>
    <w:p w14:paraId="56179D10" w14:textId="1A92C266" w:rsidR="00EF7E14" w:rsidRPr="008C0C48" w:rsidRDefault="008C0C48" w:rsidP="008C0C48">
      <w:pPr>
        <w:jc w:val="both"/>
        <w:rPr>
          <w:rFonts w:ascii="Arial" w:hAnsi="Arial" w:cs="Arial"/>
          <w:bCs/>
          <w:i/>
          <w:iCs/>
        </w:rPr>
      </w:pPr>
      <w:r>
        <w:rPr>
          <w:rFonts w:ascii="Arial" w:hAnsi="Arial" w:cs="Arial"/>
          <w:bCs/>
        </w:rPr>
        <w:t>19</w:t>
      </w:r>
      <w:r>
        <w:rPr>
          <w:rFonts w:ascii="Arial" w:hAnsi="Arial" w:cs="Arial"/>
          <w:bCs/>
        </w:rPr>
        <w:tab/>
      </w:r>
      <w:r w:rsidR="008F0188" w:rsidRPr="008C0C48">
        <w:rPr>
          <w:rFonts w:ascii="Arial" w:hAnsi="Arial" w:cs="Arial"/>
          <w:bCs/>
        </w:rPr>
        <w:t>A</w:t>
      </w:r>
      <w:r w:rsidR="00D71DEC" w:rsidRPr="008C0C48">
        <w:rPr>
          <w:rFonts w:ascii="Arial" w:hAnsi="Arial" w:cs="Arial"/>
          <w:bCs/>
        </w:rPr>
        <w:t>dministrative errors</w:t>
      </w:r>
      <w:r w:rsidR="00D8751D" w:rsidRPr="008C0C48">
        <w:rPr>
          <w:rFonts w:ascii="Arial" w:hAnsi="Arial" w:cs="Arial"/>
          <w:bCs/>
        </w:rPr>
        <w:t>,</w:t>
      </w:r>
      <w:r w:rsidR="00D71DEC" w:rsidRPr="008C0C48">
        <w:rPr>
          <w:rFonts w:ascii="Arial" w:hAnsi="Arial" w:cs="Arial"/>
          <w:bCs/>
        </w:rPr>
        <w:t xml:space="preserve"> such as the mis-keying of a  name or address</w:t>
      </w:r>
      <w:r w:rsidR="00D8751D" w:rsidRPr="008C0C48">
        <w:rPr>
          <w:rFonts w:ascii="Arial" w:hAnsi="Arial" w:cs="Arial"/>
          <w:bCs/>
        </w:rPr>
        <w:t>, represent, historically, the largest source of compensation payments by volume.</w:t>
      </w:r>
      <w:r w:rsidR="00D71DEC" w:rsidRPr="008C0C48">
        <w:rPr>
          <w:rFonts w:ascii="Arial" w:hAnsi="Arial" w:cs="Arial"/>
          <w:bCs/>
        </w:rPr>
        <w:t xml:space="preserve"> </w:t>
      </w:r>
      <w:r w:rsidR="00D8751D" w:rsidRPr="008C0C48">
        <w:rPr>
          <w:rFonts w:ascii="Arial" w:hAnsi="Arial" w:cs="Arial"/>
          <w:bCs/>
        </w:rPr>
        <w:t>There is a two-pronged approach to driving down such errors. The first is targeted work by the Quality Assurance team in detecting errors and feeding back</w:t>
      </w:r>
      <w:r w:rsidR="001B106F" w:rsidRPr="008C0C48">
        <w:rPr>
          <w:rFonts w:ascii="Arial" w:hAnsi="Arial" w:cs="Arial"/>
          <w:bCs/>
        </w:rPr>
        <w:t xml:space="preserve"> improvements</w:t>
      </w:r>
      <w:r w:rsidR="00D8751D" w:rsidRPr="008C0C48">
        <w:rPr>
          <w:rFonts w:ascii="Arial" w:hAnsi="Arial" w:cs="Arial"/>
          <w:bCs/>
        </w:rPr>
        <w:t xml:space="preserve"> to individuals and </w:t>
      </w:r>
      <w:r w:rsidR="001B106F" w:rsidRPr="008C0C48">
        <w:rPr>
          <w:rFonts w:ascii="Arial" w:hAnsi="Arial" w:cs="Arial"/>
          <w:bCs/>
        </w:rPr>
        <w:t xml:space="preserve">their managers. </w:t>
      </w:r>
      <w:r w:rsidR="005E35CD">
        <w:rPr>
          <w:rFonts w:ascii="Arial" w:hAnsi="Arial" w:cs="Arial"/>
          <w:bCs/>
        </w:rPr>
        <w:t xml:space="preserve"> </w:t>
      </w:r>
      <w:r w:rsidR="001B106F" w:rsidRPr="008C0C48">
        <w:rPr>
          <w:rFonts w:ascii="Arial" w:hAnsi="Arial" w:cs="Arial"/>
          <w:bCs/>
        </w:rPr>
        <w:t>The second is reducing the surface area for such mistakes by use of technology and improved service and operational design</w:t>
      </w:r>
      <w:r w:rsidR="005E35CD">
        <w:rPr>
          <w:rFonts w:ascii="Arial" w:hAnsi="Arial" w:cs="Arial"/>
          <w:bCs/>
        </w:rPr>
        <w:t>.</w:t>
      </w:r>
      <w:r w:rsidR="001B106F">
        <w:rPr>
          <w:rStyle w:val="FootnoteReference"/>
          <w:rFonts w:ascii="Arial" w:hAnsi="Arial" w:cs="Arial"/>
          <w:bCs/>
        </w:rPr>
        <w:footnoteReference w:id="1"/>
      </w:r>
      <w:r w:rsidR="00D8751D" w:rsidRPr="008C0C48">
        <w:rPr>
          <w:rFonts w:ascii="Arial" w:hAnsi="Arial" w:cs="Arial"/>
          <w:bCs/>
        </w:rPr>
        <w:t xml:space="preserve"> </w:t>
      </w:r>
    </w:p>
    <w:p w14:paraId="52B27070" w14:textId="77777777" w:rsidR="00EF7E14" w:rsidRDefault="00EF7E14" w:rsidP="008F0188">
      <w:pPr>
        <w:jc w:val="both"/>
        <w:rPr>
          <w:rFonts w:ascii="Arial" w:hAnsi="Arial" w:cs="Arial"/>
          <w:bCs/>
        </w:rPr>
      </w:pPr>
    </w:p>
    <w:p w14:paraId="5B72B7FA" w14:textId="788527B9" w:rsidR="00D71DEC" w:rsidRPr="00EF7E14" w:rsidRDefault="00E65113" w:rsidP="008F0188">
      <w:pPr>
        <w:jc w:val="both"/>
        <w:rPr>
          <w:rFonts w:ascii="Arial" w:hAnsi="Arial" w:cs="Arial"/>
          <w:bCs/>
          <w:i/>
          <w:iCs/>
        </w:rPr>
      </w:pPr>
      <w:r>
        <w:rPr>
          <w:rFonts w:ascii="Arial" w:hAnsi="Arial" w:cs="Arial"/>
          <w:bCs/>
          <w:i/>
          <w:iCs/>
        </w:rPr>
        <w:t>Mapping errors</w:t>
      </w:r>
    </w:p>
    <w:p w14:paraId="51DED9E1" w14:textId="77777777" w:rsidR="00EF7E14" w:rsidRPr="00EF7E14" w:rsidRDefault="00EF7E14" w:rsidP="008F0188">
      <w:pPr>
        <w:pStyle w:val="ListParagraph"/>
        <w:rPr>
          <w:rFonts w:ascii="Arial" w:hAnsi="Arial" w:cs="Arial"/>
          <w:bCs/>
          <w:i/>
          <w:iCs/>
        </w:rPr>
      </w:pPr>
    </w:p>
    <w:p w14:paraId="175FE105" w14:textId="63EBC1D1" w:rsidR="00326540" w:rsidRPr="008C0C48" w:rsidRDefault="008C0C48" w:rsidP="008C0C48">
      <w:pPr>
        <w:jc w:val="both"/>
        <w:rPr>
          <w:rFonts w:ascii="Arial" w:hAnsi="Arial" w:cs="Arial"/>
          <w:bCs/>
          <w:i/>
          <w:iCs/>
        </w:rPr>
      </w:pPr>
      <w:r>
        <w:rPr>
          <w:rFonts w:ascii="Arial" w:hAnsi="Arial" w:cs="Arial"/>
          <w:bCs/>
        </w:rPr>
        <w:t>20</w:t>
      </w:r>
      <w:r>
        <w:rPr>
          <w:rFonts w:ascii="Arial" w:hAnsi="Arial" w:cs="Arial"/>
          <w:bCs/>
        </w:rPr>
        <w:tab/>
      </w:r>
      <w:r w:rsidR="00D71DEC" w:rsidRPr="008C0C48">
        <w:rPr>
          <w:rFonts w:ascii="Arial" w:hAnsi="Arial" w:cs="Arial"/>
          <w:bCs/>
        </w:rPr>
        <w:t xml:space="preserve">The </w:t>
      </w:r>
      <w:r w:rsidR="001B106F" w:rsidRPr="008C0C48">
        <w:rPr>
          <w:rFonts w:ascii="Arial" w:hAnsi="Arial" w:cs="Arial"/>
          <w:bCs/>
        </w:rPr>
        <w:t xml:space="preserve">other significant area of compensation claims by volume are for ‘mapping errors’. This is a very broad category and </w:t>
      </w:r>
      <w:r w:rsidR="0068229E" w:rsidRPr="008C0C48">
        <w:rPr>
          <w:rFonts w:ascii="Arial" w:hAnsi="Arial" w:cs="Arial"/>
          <w:bCs/>
        </w:rPr>
        <w:t>involves a range of complex issues. We have established a mapping working group involving key stakeholders to consider the issues raised and make recommendations for improvement. The first recommendation, focussing on new guidance for interpreting land register titles</w:t>
      </w:r>
      <w:r w:rsidR="00C25FA9" w:rsidRPr="008C0C48">
        <w:rPr>
          <w:rFonts w:ascii="Arial" w:hAnsi="Arial" w:cs="Arial"/>
          <w:bCs/>
        </w:rPr>
        <w:t xml:space="preserve">, is in the process of being implemented. </w:t>
      </w:r>
    </w:p>
    <w:p w14:paraId="657CA48E" w14:textId="77777777" w:rsidR="000D0ECE" w:rsidRPr="007F1406" w:rsidRDefault="000D0ECE" w:rsidP="008F0188">
      <w:pPr>
        <w:tabs>
          <w:tab w:val="left" w:pos="1127"/>
        </w:tabs>
        <w:jc w:val="both"/>
        <w:rPr>
          <w:rFonts w:ascii="Arial" w:hAnsi="Arial" w:cs="Arial"/>
        </w:rPr>
      </w:pPr>
    </w:p>
    <w:p w14:paraId="012D53B0" w14:textId="77777777" w:rsidR="00326540" w:rsidRDefault="00326540" w:rsidP="008F0188">
      <w:pPr>
        <w:jc w:val="both"/>
        <w:rPr>
          <w:rFonts w:ascii="Arial" w:hAnsi="Arial" w:cs="Arial"/>
          <w:b/>
        </w:rPr>
      </w:pPr>
    </w:p>
    <w:p w14:paraId="14C728A4" w14:textId="77777777" w:rsidR="00326540" w:rsidRDefault="00326540" w:rsidP="008F0188">
      <w:pPr>
        <w:jc w:val="both"/>
        <w:rPr>
          <w:rFonts w:ascii="Arial" w:hAnsi="Arial" w:cs="Arial"/>
          <w:b/>
        </w:rPr>
      </w:pPr>
    </w:p>
    <w:p w14:paraId="20423041" w14:textId="787F0CB4" w:rsidR="00E308F4" w:rsidRPr="007F1406" w:rsidRDefault="00E308F4" w:rsidP="008F0188">
      <w:pPr>
        <w:jc w:val="both"/>
        <w:rPr>
          <w:rFonts w:ascii="Arial" w:hAnsi="Arial" w:cs="Arial"/>
          <w:b/>
        </w:rPr>
      </w:pPr>
      <w:r w:rsidRPr="007F1406">
        <w:rPr>
          <w:rFonts w:ascii="Arial" w:hAnsi="Arial" w:cs="Arial"/>
          <w:b/>
        </w:rPr>
        <w:t>Job Title</w:t>
      </w:r>
      <w:r w:rsidR="007E41FD" w:rsidRPr="007F1406">
        <w:rPr>
          <w:rFonts w:ascii="Arial" w:hAnsi="Arial" w:cs="Arial"/>
          <w:b/>
        </w:rPr>
        <w:tab/>
        <w:t>Policy Lead</w:t>
      </w:r>
    </w:p>
    <w:p w14:paraId="26420415" w14:textId="798A910A" w:rsidR="00E308F4" w:rsidRPr="007F1406" w:rsidRDefault="00E308F4" w:rsidP="008F0188">
      <w:pPr>
        <w:jc w:val="both"/>
        <w:rPr>
          <w:rFonts w:ascii="Arial" w:hAnsi="Arial" w:cs="Arial"/>
          <w:b/>
        </w:rPr>
      </w:pPr>
      <w:r w:rsidRPr="007F1406">
        <w:rPr>
          <w:rFonts w:ascii="Arial" w:hAnsi="Arial" w:cs="Arial"/>
          <w:b/>
        </w:rPr>
        <w:t>Directorate</w:t>
      </w:r>
      <w:r w:rsidR="007E41FD" w:rsidRPr="007F1406">
        <w:rPr>
          <w:rFonts w:ascii="Arial" w:hAnsi="Arial" w:cs="Arial"/>
          <w:b/>
        </w:rPr>
        <w:tab/>
        <w:t>Registration and Policy</w:t>
      </w:r>
    </w:p>
    <w:p w14:paraId="51B97BFA" w14:textId="577EACF4" w:rsidR="00D71DEC" w:rsidRDefault="00E308F4" w:rsidP="008F0188">
      <w:pPr>
        <w:jc w:val="both"/>
        <w:rPr>
          <w:rFonts w:ascii="Arial" w:hAnsi="Arial" w:cs="Arial"/>
          <w:b/>
        </w:rPr>
      </w:pPr>
      <w:r w:rsidRPr="007F1406">
        <w:rPr>
          <w:rFonts w:ascii="Arial" w:hAnsi="Arial" w:cs="Arial"/>
          <w:b/>
        </w:rPr>
        <w:t>Date</w:t>
      </w:r>
      <w:r w:rsidR="007E41FD" w:rsidRPr="007F1406">
        <w:rPr>
          <w:rFonts w:ascii="Arial" w:hAnsi="Arial" w:cs="Arial"/>
          <w:b/>
        </w:rPr>
        <w:tab/>
      </w:r>
      <w:r w:rsidR="007E41FD" w:rsidRPr="007F1406">
        <w:rPr>
          <w:rFonts w:ascii="Arial" w:hAnsi="Arial" w:cs="Arial"/>
          <w:b/>
        </w:rPr>
        <w:tab/>
      </w:r>
      <w:r w:rsidR="002A3BB0">
        <w:rPr>
          <w:rFonts w:ascii="Arial" w:hAnsi="Arial" w:cs="Arial"/>
          <w:b/>
        </w:rPr>
        <w:t>3 December</w:t>
      </w:r>
      <w:r w:rsidR="007E41FD" w:rsidRPr="007F1406">
        <w:rPr>
          <w:rFonts w:ascii="Arial" w:hAnsi="Arial" w:cs="Arial"/>
          <w:b/>
        </w:rPr>
        <w:t xml:space="preserve"> 2021</w:t>
      </w:r>
    </w:p>
    <w:p w14:paraId="7FF18C68" w14:textId="2BE23289" w:rsidR="00296E22" w:rsidRDefault="00011B35" w:rsidP="00326540">
      <w:pPr>
        <w:spacing w:after="160"/>
        <w:rPr>
          <w:rFonts w:ascii="Arial" w:hAnsi="Arial" w:cs="Arial"/>
          <w:b/>
        </w:rPr>
      </w:pPr>
      <w:r>
        <w:rPr>
          <w:rFonts w:ascii="Arial" w:hAnsi="Arial" w:cs="Arial"/>
          <w:b/>
        </w:rPr>
        <w:br w:type="page"/>
      </w:r>
      <w:r w:rsidR="00D71DEC">
        <w:rPr>
          <w:rFonts w:ascii="Arial" w:hAnsi="Arial" w:cs="Arial"/>
          <w:b/>
        </w:rPr>
        <w:lastRenderedPageBreak/>
        <w:t xml:space="preserve">Annex </w:t>
      </w:r>
    </w:p>
    <w:p w14:paraId="6FAD029B" w14:textId="38550F34" w:rsidR="00296E22" w:rsidRDefault="00296E22" w:rsidP="008F0188">
      <w:pPr>
        <w:jc w:val="both"/>
        <w:rPr>
          <w:rFonts w:ascii="Arial" w:hAnsi="Arial" w:cs="Arial"/>
          <w:b/>
        </w:rPr>
      </w:pPr>
      <w:r>
        <w:rPr>
          <w:rFonts w:ascii="Arial" w:hAnsi="Arial" w:cs="Arial"/>
          <w:b/>
        </w:rPr>
        <w:t xml:space="preserve">Compensation Regime </w:t>
      </w:r>
    </w:p>
    <w:p w14:paraId="0506442B" w14:textId="7668B6C7" w:rsidR="00D71DEC" w:rsidRDefault="00D71DEC" w:rsidP="008F0188">
      <w:pPr>
        <w:jc w:val="both"/>
        <w:rPr>
          <w:rFonts w:ascii="Arial" w:hAnsi="Arial" w:cs="Arial"/>
          <w:b/>
        </w:rPr>
      </w:pPr>
    </w:p>
    <w:p w14:paraId="2A38EAF4" w14:textId="3383B2FC" w:rsidR="00067EC5" w:rsidRDefault="00067EC5" w:rsidP="008F0188">
      <w:pPr>
        <w:jc w:val="both"/>
        <w:rPr>
          <w:rFonts w:ascii="Arial" w:hAnsi="Arial" w:cs="Arial"/>
          <w:b/>
        </w:rPr>
      </w:pPr>
      <w:r>
        <w:rPr>
          <w:rFonts w:ascii="Arial" w:hAnsi="Arial" w:cs="Arial"/>
          <w:b/>
        </w:rPr>
        <w:t>Background</w:t>
      </w:r>
    </w:p>
    <w:p w14:paraId="5E762A16" w14:textId="76398533" w:rsidR="00067EC5" w:rsidRDefault="00067EC5" w:rsidP="008F0188">
      <w:pPr>
        <w:jc w:val="both"/>
        <w:rPr>
          <w:rFonts w:ascii="Arial" w:hAnsi="Arial" w:cs="Arial"/>
          <w:b/>
        </w:rPr>
      </w:pPr>
    </w:p>
    <w:p w14:paraId="5302BAB0" w14:textId="2AC0DBE3" w:rsidR="0093616C" w:rsidRDefault="00067EC5" w:rsidP="005F6340">
      <w:pPr>
        <w:pStyle w:val="ListParagraph"/>
        <w:numPr>
          <w:ilvl w:val="0"/>
          <w:numId w:val="3"/>
        </w:numPr>
        <w:ind w:left="0" w:firstLine="0"/>
        <w:jc w:val="both"/>
        <w:rPr>
          <w:rFonts w:ascii="Arial" w:hAnsi="Arial" w:cs="Arial"/>
          <w:bCs/>
        </w:rPr>
      </w:pPr>
      <w:r w:rsidRPr="0093616C">
        <w:rPr>
          <w:rFonts w:ascii="Arial" w:hAnsi="Arial" w:cs="Arial"/>
          <w:bCs/>
        </w:rPr>
        <w:t>While mistakes are rare</w:t>
      </w:r>
      <w:r w:rsidR="00D004FA" w:rsidRPr="0093616C">
        <w:rPr>
          <w:rFonts w:ascii="Arial" w:hAnsi="Arial" w:cs="Arial"/>
          <w:bCs/>
        </w:rPr>
        <w:t xml:space="preserve"> relative to the totality of registration events which occur in the Land Register,</w:t>
      </w:r>
      <w:r w:rsidRPr="0093616C">
        <w:rPr>
          <w:rFonts w:ascii="Arial" w:hAnsi="Arial" w:cs="Arial"/>
          <w:bCs/>
        </w:rPr>
        <w:t xml:space="preserve"> these do occur and can be introduced either by registration error (an error during the course of registration) or transactional error (an error which occurred in the events preceding registration).  However errors are introduced into the Land Register, the warranty and compensation scheme provided by the Land Registration etc. (Scotland) Act 2012 intends to put a person who relied upon the </w:t>
      </w:r>
      <w:r w:rsidR="00E836F8" w:rsidRPr="0093616C">
        <w:rPr>
          <w:rFonts w:ascii="Arial" w:hAnsi="Arial" w:cs="Arial"/>
          <w:bCs/>
        </w:rPr>
        <w:t>inaccuracy</w:t>
      </w:r>
      <w:r w:rsidRPr="0093616C">
        <w:rPr>
          <w:rFonts w:ascii="Arial" w:hAnsi="Arial" w:cs="Arial"/>
          <w:bCs/>
        </w:rPr>
        <w:t xml:space="preserve"> and incurred loss back in the same position as if the register had not been inaccurate.  This is commonly referred to as the ‘insurance principle’ and will aim to protect a party who relies on the register in good faith.  </w:t>
      </w:r>
    </w:p>
    <w:p w14:paraId="43C06729" w14:textId="77777777" w:rsidR="0093616C" w:rsidRDefault="0093616C" w:rsidP="005F6340">
      <w:pPr>
        <w:pStyle w:val="ListParagraph"/>
        <w:ind w:left="0"/>
        <w:jc w:val="both"/>
        <w:rPr>
          <w:rFonts w:ascii="Arial" w:hAnsi="Arial" w:cs="Arial"/>
          <w:bCs/>
        </w:rPr>
      </w:pPr>
    </w:p>
    <w:p w14:paraId="69820312" w14:textId="4C397322" w:rsidR="00067EC5" w:rsidRPr="0093616C" w:rsidRDefault="00067EC5" w:rsidP="005F6340">
      <w:pPr>
        <w:pStyle w:val="ListParagraph"/>
        <w:numPr>
          <w:ilvl w:val="0"/>
          <w:numId w:val="3"/>
        </w:numPr>
        <w:ind w:left="0" w:firstLine="0"/>
        <w:jc w:val="both"/>
        <w:rPr>
          <w:rFonts w:ascii="Arial" w:hAnsi="Arial" w:cs="Arial"/>
          <w:bCs/>
        </w:rPr>
      </w:pPr>
      <w:r w:rsidRPr="0093616C">
        <w:rPr>
          <w:rFonts w:ascii="Arial" w:hAnsi="Arial" w:cs="Arial"/>
          <w:bCs/>
        </w:rPr>
        <w:t>There exists an obvious (but imperfect) corollary between insurance and compensation</w:t>
      </w:r>
      <w:r w:rsidR="00E12DA6" w:rsidRPr="0093616C">
        <w:rPr>
          <w:rFonts w:ascii="Arial" w:hAnsi="Arial" w:cs="Arial"/>
          <w:bCs/>
        </w:rPr>
        <w:t>.  W</w:t>
      </w:r>
      <w:r w:rsidRPr="0093616C">
        <w:rPr>
          <w:rFonts w:ascii="Arial" w:hAnsi="Arial" w:cs="Arial"/>
          <w:bCs/>
        </w:rPr>
        <w:t xml:space="preserve">arranty is applied at registration and does not apply to interests entered onto the Land Register through rectification.  This is because the registration fee includes a warranty premium of sorts and no payment is made </w:t>
      </w:r>
      <w:r w:rsidR="006158D8" w:rsidRPr="0093616C">
        <w:rPr>
          <w:rFonts w:ascii="Arial" w:hAnsi="Arial" w:cs="Arial"/>
          <w:bCs/>
        </w:rPr>
        <w:t>for requesting</w:t>
      </w:r>
      <w:r w:rsidRPr="0093616C">
        <w:rPr>
          <w:rFonts w:ascii="Arial" w:hAnsi="Arial" w:cs="Arial"/>
          <w:bCs/>
        </w:rPr>
        <w:t xml:space="preserve"> rectification.  </w:t>
      </w:r>
    </w:p>
    <w:p w14:paraId="3BBCC71F" w14:textId="77777777" w:rsidR="00067EC5" w:rsidRPr="00E10682" w:rsidRDefault="00067EC5" w:rsidP="005F6340">
      <w:pPr>
        <w:jc w:val="both"/>
        <w:rPr>
          <w:rFonts w:ascii="Arial" w:hAnsi="Arial" w:cs="Arial"/>
          <w:bCs/>
        </w:rPr>
      </w:pPr>
    </w:p>
    <w:p w14:paraId="542FB439" w14:textId="4F08FFE3" w:rsidR="00067EC5" w:rsidRPr="0093616C" w:rsidRDefault="00067EC5" w:rsidP="005F6340">
      <w:pPr>
        <w:pStyle w:val="ListParagraph"/>
        <w:numPr>
          <w:ilvl w:val="0"/>
          <w:numId w:val="3"/>
        </w:numPr>
        <w:ind w:left="0" w:firstLine="0"/>
        <w:jc w:val="both"/>
        <w:rPr>
          <w:rFonts w:ascii="Arial" w:hAnsi="Arial" w:cs="Arial"/>
          <w:bCs/>
        </w:rPr>
      </w:pPr>
      <w:r w:rsidRPr="0093616C">
        <w:rPr>
          <w:rFonts w:ascii="Arial" w:hAnsi="Arial" w:cs="Arial"/>
          <w:bCs/>
        </w:rPr>
        <w:t>Compensation schemes are a common feature among land registration systems around the world.  The protections offered by these state-backed schemes operate to foster confidence in the register which in turn delivers wider economic benefits.  The right to property is protected by Article 1 of Protocol no. 1 to the European Convention of Human Rights and the provision by Registers of Scotland of safe, secure and efficient property transactions contributes to the Scottish Government’s National Outcome of having a globally competitive, entrepreneurial, inclusive and sustainable economy.</w:t>
      </w:r>
    </w:p>
    <w:p w14:paraId="4521BEE1" w14:textId="77777777" w:rsidR="00067EC5" w:rsidRPr="00E10682" w:rsidRDefault="00067EC5" w:rsidP="005F6340">
      <w:pPr>
        <w:jc w:val="both"/>
        <w:rPr>
          <w:rFonts w:ascii="Arial" w:hAnsi="Arial" w:cs="Arial"/>
          <w:bCs/>
        </w:rPr>
      </w:pPr>
    </w:p>
    <w:p w14:paraId="6F5658CF" w14:textId="77777777" w:rsidR="0093616C" w:rsidRDefault="00067EC5" w:rsidP="005F6340">
      <w:pPr>
        <w:pStyle w:val="ListParagraph"/>
        <w:numPr>
          <w:ilvl w:val="0"/>
          <w:numId w:val="3"/>
        </w:numPr>
        <w:ind w:left="0" w:firstLine="0"/>
        <w:jc w:val="both"/>
        <w:rPr>
          <w:rFonts w:ascii="Arial" w:hAnsi="Arial" w:cs="Arial"/>
          <w:bCs/>
        </w:rPr>
      </w:pPr>
      <w:r w:rsidRPr="0093616C">
        <w:rPr>
          <w:rFonts w:ascii="Arial" w:hAnsi="Arial" w:cs="Arial"/>
          <w:bCs/>
        </w:rPr>
        <w:t xml:space="preserve">When transactions are registered in the land register, the applicant obtains the benefit of warranty underpinned by the state.  With only limited exceptions, the Keeper warrants to that applicant that, at the date of registration, they have the interest so registered.  If there was an error in the transaction preceding registration (such as a fraud) then this can mean that the right acquired by the applicant was void and such loss can trigger a claim under warranty.  </w:t>
      </w:r>
    </w:p>
    <w:p w14:paraId="5E99E37A" w14:textId="77777777" w:rsidR="0093616C" w:rsidRPr="0093616C" w:rsidRDefault="0093616C" w:rsidP="005F6340">
      <w:pPr>
        <w:pStyle w:val="ListParagraph"/>
        <w:ind w:left="0"/>
        <w:rPr>
          <w:rFonts w:ascii="Arial" w:hAnsi="Arial" w:cs="Arial"/>
          <w:bCs/>
        </w:rPr>
      </w:pPr>
    </w:p>
    <w:p w14:paraId="17B7F55C" w14:textId="62F86C0F" w:rsidR="00067EC5" w:rsidRPr="0093616C" w:rsidRDefault="00067EC5" w:rsidP="005F6340">
      <w:pPr>
        <w:pStyle w:val="ListParagraph"/>
        <w:numPr>
          <w:ilvl w:val="0"/>
          <w:numId w:val="3"/>
        </w:numPr>
        <w:ind w:left="0" w:firstLine="0"/>
        <w:jc w:val="both"/>
        <w:rPr>
          <w:rFonts w:ascii="Arial" w:hAnsi="Arial" w:cs="Arial"/>
          <w:bCs/>
        </w:rPr>
      </w:pPr>
      <w:r w:rsidRPr="0093616C">
        <w:rPr>
          <w:rFonts w:ascii="Arial" w:hAnsi="Arial" w:cs="Arial"/>
          <w:bCs/>
        </w:rPr>
        <w:t>The 2012 Act sets out in detail the basis on which compensation including warranty must be paid and provides clarity on the criteria for eligibility and quantum.  Applying the compensation scheme in accordance with the provisions of the 2012 Act, and therefore paying the correct amount to the correct person at the correct time, forms part of the Keeper’s statutory function</w:t>
      </w:r>
      <w:r w:rsidR="0052163C" w:rsidRPr="0093616C">
        <w:rPr>
          <w:rFonts w:ascii="Arial" w:hAnsi="Arial" w:cs="Arial"/>
          <w:bCs/>
        </w:rPr>
        <w:t>.</w:t>
      </w:r>
    </w:p>
    <w:p w14:paraId="6BA8316A" w14:textId="77777777" w:rsidR="0052163C" w:rsidRPr="0052163C" w:rsidRDefault="0052163C" w:rsidP="005F6340">
      <w:pPr>
        <w:pStyle w:val="ListParagraph"/>
        <w:ind w:left="0"/>
        <w:rPr>
          <w:rFonts w:ascii="Arial" w:hAnsi="Arial" w:cs="Arial"/>
          <w:bCs/>
        </w:rPr>
      </w:pPr>
    </w:p>
    <w:p w14:paraId="508F2F08" w14:textId="2F9E04C5" w:rsidR="006735F0" w:rsidRPr="0093616C" w:rsidRDefault="00E12DA6" w:rsidP="005F6340">
      <w:pPr>
        <w:pStyle w:val="ListParagraph"/>
        <w:numPr>
          <w:ilvl w:val="0"/>
          <w:numId w:val="3"/>
        </w:numPr>
        <w:spacing w:after="160"/>
        <w:ind w:left="0" w:firstLine="0"/>
        <w:jc w:val="both"/>
        <w:rPr>
          <w:rFonts w:ascii="Arial" w:hAnsi="Arial" w:cs="Arial"/>
        </w:rPr>
      </w:pPr>
      <w:r w:rsidRPr="0093616C">
        <w:rPr>
          <w:rFonts w:ascii="Arial" w:hAnsi="Arial" w:cs="Arial"/>
          <w:bCs/>
        </w:rPr>
        <w:t>All</w:t>
      </w:r>
      <w:r w:rsidR="0052163C" w:rsidRPr="0093616C">
        <w:rPr>
          <w:rFonts w:ascii="Arial" w:hAnsi="Arial" w:cs="Arial"/>
          <w:bCs/>
        </w:rPr>
        <w:t xml:space="preserve"> claims for compensation must be demonstrable, real and actual, and not speculative or hypothetical.  The Compensation Team must be provided with sufficient evidence of loss in support of all claims made.  Where loss is attributable to the fault of the claimant, the applicant or their legal advisors, the claim may be refused.  </w:t>
      </w:r>
    </w:p>
    <w:p w14:paraId="4A022113" w14:textId="37B41473" w:rsidR="0093616C" w:rsidRDefault="0093616C" w:rsidP="005F6340">
      <w:pPr>
        <w:pStyle w:val="ListParagraph"/>
        <w:ind w:left="0"/>
        <w:rPr>
          <w:rFonts w:ascii="Arial" w:hAnsi="Arial" w:cs="Arial"/>
        </w:rPr>
      </w:pPr>
    </w:p>
    <w:p w14:paraId="74C5A43F" w14:textId="5D3AFAAC" w:rsidR="005F6340" w:rsidRDefault="005F6340" w:rsidP="005F6340">
      <w:pPr>
        <w:pStyle w:val="ListParagraph"/>
        <w:ind w:left="0"/>
        <w:rPr>
          <w:rFonts w:ascii="Arial" w:hAnsi="Arial" w:cs="Arial"/>
        </w:rPr>
      </w:pPr>
    </w:p>
    <w:p w14:paraId="1A568435" w14:textId="0F2D5859" w:rsidR="00466A2E" w:rsidRPr="0093616C" w:rsidRDefault="00067EC5" w:rsidP="005F6340">
      <w:pPr>
        <w:spacing w:after="160"/>
        <w:jc w:val="both"/>
        <w:rPr>
          <w:rFonts w:ascii="Arial" w:hAnsi="Arial" w:cs="Arial"/>
          <w:b/>
          <w:bCs/>
        </w:rPr>
      </w:pPr>
      <w:r w:rsidRPr="0093616C">
        <w:rPr>
          <w:rFonts w:ascii="Arial" w:hAnsi="Arial" w:cs="Arial"/>
          <w:b/>
          <w:bCs/>
        </w:rPr>
        <w:t>Types of compensation claim</w:t>
      </w:r>
    </w:p>
    <w:p w14:paraId="2120FA10" w14:textId="4C11128F" w:rsidR="00466A2E" w:rsidRDefault="00466A2E" w:rsidP="005F6340">
      <w:pPr>
        <w:pStyle w:val="ListParagraph"/>
        <w:spacing w:after="160"/>
        <w:ind w:left="0"/>
        <w:jc w:val="both"/>
        <w:rPr>
          <w:rFonts w:ascii="Arial" w:hAnsi="Arial" w:cs="Arial"/>
          <w:i/>
          <w:iCs/>
        </w:rPr>
      </w:pPr>
      <w:r w:rsidRPr="0093616C">
        <w:rPr>
          <w:rFonts w:ascii="Arial" w:hAnsi="Arial" w:cs="Arial"/>
          <w:i/>
          <w:iCs/>
        </w:rPr>
        <w:t>Breach of warranty</w:t>
      </w:r>
    </w:p>
    <w:p w14:paraId="4601D768" w14:textId="77777777" w:rsidR="0093616C" w:rsidRPr="0093616C" w:rsidRDefault="0093616C" w:rsidP="005F6340">
      <w:pPr>
        <w:pStyle w:val="ListParagraph"/>
        <w:spacing w:after="160"/>
        <w:ind w:left="0"/>
        <w:jc w:val="both"/>
        <w:rPr>
          <w:rFonts w:ascii="Arial" w:hAnsi="Arial" w:cs="Arial"/>
          <w:i/>
          <w:iCs/>
        </w:rPr>
      </w:pPr>
    </w:p>
    <w:p w14:paraId="1C64091B" w14:textId="64384780" w:rsidR="00296E22" w:rsidRDefault="00C57031" w:rsidP="005F6340">
      <w:pPr>
        <w:pStyle w:val="ListParagraph"/>
        <w:numPr>
          <w:ilvl w:val="0"/>
          <w:numId w:val="3"/>
        </w:numPr>
        <w:spacing w:after="160"/>
        <w:ind w:left="0" w:firstLine="0"/>
        <w:jc w:val="both"/>
        <w:rPr>
          <w:rFonts w:ascii="Arial" w:hAnsi="Arial" w:cs="Arial"/>
        </w:rPr>
      </w:pPr>
      <w:r w:rsidRPr="0093616C">
        <w:rPr>
          <w:rFonts w:ascii="Arial" w:hAnsi="Arial" w:cs="Arial"/>
        </w:rPr>
        <w:t>C</w:t>
      </w:r>
      <w:r w:rsidR="00D94958" w:rsidRPr="0093616C">
        <w:rPr>
          <w:rFonts w:ascii="Arial" w:hAnsi="Arial" w:cs="Arial"/>
        </w:rPr>
        <w:t xml:space="preserve">ompensation for breach of warranty is available to applicants where the Keeper grants warranty on registration but the title is then rectified to remove the acquisition, variation or discharge as registered.  </w:t>
      </w:r>
      <w:r w:rsidR="00296E22" w:rsidRPr="0093616C">
        <w:rPr>
          <w:rFonts w:ascii="Arial" w:hAnsi="Arial" w:cs="Arial"/>
        </w:rPr>
        <w:t>Compensation payments in breach of warranty are relatively rare</w:t>
      </w:r>
      <w:r w:rsidR="0052163C" w:rsidRPr="0093616C">
        <w:rPr>
          <w:rFonts w:ascii="Arial" w:hAnsi="Arial" w:cs="Arial"/>
        </w:rPr>
        <w:t xml:space="preserve"> </w:t>
      </w:r>
      <w:r w:rsidR="00296E22" w:rsidRPr="0093616C">
        <w:rPr>
          <w:rFonts w:ascii="Arial" w:hAnsi="Arial" w:cs="Arial"/>
        </w:rPr>
        <w:t>with only twelve instances in the preceding four years. These types of claim tend be for higher value than other types of compensation claim.</w:t>
      </w:r>
      <w:r w:rsidR="00067EC5" w:rsidRPr="0093616C">
        <w:rPr>
          <w:rFonts w:ascii="Arial" w:hAnsi="Arial" w:cs="Arial"/>
          <w:color w:val="2E74B5" w:themeColor="accent1" w:themeShade="BF"/>
        </w:rPr>
        <w:t xml:space="preserve">  </w:t>
      </w:r>
      <w:r w:rsidR="00067EC5" w:rsidRPr="0093616C">
        <w:rPr>
          <w:rFonts w:ascii="Arial" w:hAnsi="Arial" w:cs="Arial"/>
        </w:rPr>
        <w:t>For example, should a good-faith purchaser buy a property from a fraudster pretending to be the owner, and the fraud is discovered quickly, the good-faith purchaser may lose the property.  In this instance, warranty will have been breached and the Keeper will be liable to recompense the good-faith purchaser to the value of the property</w:t>
      </w:r>
      <w:r w:rsidRPr="0093616C">
        <w:rPr>
          <w:rFonts w:ascii="Arial" w:hAnsi="Arial" w:cs="Arial"/>
        </w:rPr>
        <w:t xml:space="preserve"> lost</w:t>
      </w:r>
      <w:r w:rsidR="00067EC5" w:rsidRPr="0093616C">
        <w:rPr>
          <w:rFonts w:ascii="Arial" w:hAnsi="Arial" w:cs="Arial"/>
        </w:rPr>
        <w:t>.</w:t>
      </w:r>
    </w:p>
    <w:p w14:paraId="5E1BEE76" w14:textId="77777777" w:rsidR="0093616C" w:rsidRPr="0093616C" w:rsidRDefault="0093616C" w:rsidP="005F6340">
      <w:pPr>
        <w:pStyle w:val="ListParagraph"/>
        <w:spacing w:after="160"/>
        <w:ind w:left="0"/>
        <w:jc w:val="both"/>
        <w:rPr>
          <w:rFonts w:ascii="Arial" w:hAnsi="Arial" w:cs="Arial"/>
        </w:rPr>
      </w:pPr>
    </w:p>
    <w:p w14:paraId="236EF9C2" w14:textId="6DBBBA13" w:rsidR="00466A2E" w:rsidRDefault="00466A2E" w:rsidP="005F6340">
      <w:pPr>
        <w:pStyle w:val="ListParagraph"/>
        <w:spacing w:after="160"/>
        <w:ind w:left="0"/>
        <w:jc w:val="both"/>
        <w:rPr>
          <w:rFonts w:ascii="Arial" w:hAnsi="Arial" w:cs="Arial"/>
          <w:i/>
          <w:iCs/>
        </w:rPr>
      </w:pPr>
      <w:r w:rsidRPr="0093616C">
        <w:rPr>
          <w:rFonts w:ascii="Arial" w:hAnsi="Arial" w:cs="Arial"/>
          <w:i/>
          <w:iCs/>
        </w:rPr>
        <w:t>Claims for extra-judicial legal expenses and consequential loss relating to rectification of the register</w:t>
      </w:r>
    </w:p>
    <w:p w14:paraId="55DE4BDC" w14:textId="77777777" w:rsidR="0093616C" w:rsidRPr="0093616C" w:rsidRDefault="0093616C" w:rsidP="005F6340">
      <w:pPr>
        <w:pStyle w:val="ListParagraph"/>
        <w:spacing w:after="160"/>
        <w:ind w:left="0"/>
        <w:jc w:val="both"/>
        <w:rPr>
          <w:rFonts w:ascii="Arial" w:hAnsi="Arial" w:cs="Arial"/>
          <w:i/>
          <w:iCs/>
        </w:rPr>
      </w:pPr>
    </w:p>
    <w:p w14:paraId="1684D3C3" w14:textId="5872BDC6" w:rsidR="0034192B" w:rsidRDefault="00067EC5" w:rsidP="005F6340">
      <w:pPr>
        <w:pStyle w:val="ListParagraph"/>
        <w:numPr>
          <w:ilvl w:val="0"/>
          <w:numId w:val="3"/>
        </w:numPr>
        <w:spacing w:after="160"/>
        <w:ind w:left="0" w:firstLine="0"/>
        <w:jc w:val="both"/>
        <w:rPr>
          <w:rFonts w:ascii="Arial" w:hAnsi="Arial" w:cs="Arial"/>
        </w:rPr>
      </w:pPr>
      <w:r w:rsidRPr="0093616C">
        <w:rPr>
          <w:rFonts w:ascii="Arial" w:hAnsi="Arial" w:cs="Arial"/>
        </w:rPr>
        <w:t xml:space="preserve">Most claims for compensation relate to the costs and expenses of seeking rectification of the register.  The Keeper must rectify the register where the inaccuracy is manifest and what is required to rectify that inaccuracy is also manifest.  </w:t>
      </w:r>
      <w:r w:rsidR="0034192B" w:rsidRPr="0093616C">
        <w:rPr>
          <w:rFonts w:ascii="Arial" w:hAnsi="Arial" w:cs="Arial"/>
        </w:rPr>
        <w:t xml:space="preserve">In the case of a dispute </w:t>
      </w:r>
      <w:r w:rsidR="006158D8" w:rsidRPr="0093616C">
        <w:rPr>
          <w:rFonts w:ascii="Arial" w:hAnsi="Arial" w:cs="Arial"/>
        </w:rPr>
        <w:t xml:space="preserve">between parties </w:t>
      </w:r>
      <w:r w:rsidR="0034192B" w:rsidRPr="0093616C">
        <w:rPr>
          <w:rFonts w:ascii="Arial" w:hAnsi="Arial" w:cs="Arial"/>
        </w:rPr>
        <w:t xml:space="preserve">where the underlying legal position is unclear, the parties may require to go to court to determine the position.  The Keeper will </w:t>
      </w:r>
      <w:r w:rsidR="00C57031" w:rsidRPr="0093616C">
        <w:rPr>
          <w:rFonts w:ascii="Arial" w:hAnsi="Arial" w:cs="Arial"/>
        </w:rPr>
        <w:t>not</w:t>
      </w:r>
      <w:r w:rsidR="0034192B" w:rsidRPr="0093616C">
        <w:rPr>
          <w:rFonts w:ascii="Arial" w:hAnsi="Arial" w:cs="Arial"/>
        </w:rPr>
        <w:t xml:space="preserve"> bear the expense of the court action itself but she will pay reasonable extra-judicial legal expenses</w:t>
      </w:r>
      <w:r w:rsidR="00466A2E" w:rsidRPr="0093616C">
        <w:rPr>
          <w:rFonts w:ascii="Arial" w:hAnsi="Arial" w:cs="Arial"/>
        </w:rPr>
        <w:t xml:space="preserve"> and consequential loss directly related to the inaccuracy</w:t>
      </w:r>
      <w:r w:rsidR="0034192B" w:rsidRPr="0093616C">
        <w:rPr>
          <w:rFonts w:ascii="Arial" w:hAnsi="Arial" w:cs="Arial"/>
        </w:rPr>
        <w:t xml:space="preserve">.  </w:t>
      </w:r>
    </w:p>
    <w:p w14:paraId="44E7452C" w14:textId="77777777" w:rsidR="0093616C" w:rsidRPr="0093616C" w:rsidRDefault="0093616C" w:rsidP="005F6340">
      <w:pPr>
        <w:pStyle w:val="ListParagraph"/>
        <w:spacing w:after="160"/>
        <w:ind w:left="0"/>
        <w:jc w:val="both"/>
        <w:rPr>
          <w:rFonts w:ascii="Arial" w:hAnsi="Arial" w:cs="Arial"/>
        </w:rPr>
      </w:pPr>
    </w:p>
    <w:p w14:paraId="083D97DB" w14:textId="53E6F95D" w:rsidR="00D94958" w:rsidRPr="0093616C" w:rsidRDefault="00466A2E" w:rsidP="005F6340">
      <w:pPr>
        <w:pStyle w:val="ListParagraph"/>
        <w:ind w:left="0"/>
        <w:jc w:val="both"/>
        <w:rPr>
          <w:rFonts w:ascii="Arial" w:hAnsi="Arial" w:cs="Arial"/>
          <w:i/>
          <w:iCs/>
        </w:rPr>
      </w:pPr>
      <w:r w:rsidRPr="0093616C">
        <w:rPr>
          <w:rFonts w:ascii="Arial" w:hAnsi="Arial" w:cs="Arial"/>
          <w:i/>
          <w:iCs/>
        </w:rPr>
        <w:t>Extinction of rights</w:t>
      </w:r>
    </w:p>
    <w:p w14:paraId="7836ADEB" w14:textId="64BAFBAB" w:rsidR="00466A2E" w:rsidRDefault="00466A2E" w:rsidP="005F6340">
      <w:pPr>
        <w:jc w:val="both"/>
        <w:rPr>
          <w:rFonts w:ascii="Arial" w:hAnsi="Arial" w:cs="Arial"/>
        </w:rPr>
      </w:pPr>
    </w:p>
    <w:p w14:paraId="7455AD27" w14:textId="271863DC" w:rsidR="00466A2E" w:rsidRPr="0093616C" w:rsidRDefault="00466A2E" w:rsidP="005F6340">
      <w:pPr>
        <w:pStyle w:val="ListParagraph"/>
        <w:numPr>
          <w:ilvl w:val="0"/>
          <w:numId w:val="3"/>
        </w:numPr>
        <w:ind w:left="0" w:firstLine="0"/>
        <w:jc w:val="both"/>
        <w:rPr>
          <w:rFonts w:ascii="Arial" w:hAnsi="Arial" w:cs="Arial"/>
        </w:rPr>
      </w:pPr>
      <w:r w:rsidRPr="0093616C">
        <w:rPr>
          <w:rFonts w:ascii="Arial" w:hAnsi="Arial" w:cs="Arial"/>
        </w:rPr>
        <w:t>In some instances, the face of the register</w:t>
      </w:r>
      <w:r w:rsidR="006158D8" w:rsidRPr="0093616C">
        <w:rPr>
          <w:rFonts w:ascii="Arial" w:hAnsi="Arial" w:cs="Arial"/>
        </w:rPr>
        <w:t xml:space="preserve">, </w:t>
      </w:r>
      <w:r w:rsidR="00D07618" w:rsidRPr="0093616C">
        <w:rPr>
          <w:rFonts w:ascii="Arial" w:hAnsi="Arial" w:cs="Arial"/>
        </w:rPr>
        <w:t xml:space="preserve">which </w:t>
      </w:r>
      <w:r w:rsidR="00C57031" w:rsidRPr="0093616C">
        <w:rPr>
          <w:rFonts w:ascii="Arial" w:hAnsi="Arial" w:cs="Arial"/>
        </w:rPr>
        <w:t>otherwise would be</w:t>
      </w:r>
      <w:r w:rsidR="00D07618" w:rsidRPr="0093616C">
        <w:rPr>
          <w:rFonts w:ascii="Arial" w:hAnsi="Arial" w:cs="Arial"/>
        </w:rPr>
        <w:t xml:space="preserve"> inaccurate</w:t>
      </w:r>
      <w:r w:rsidR="006158D8" w:rsidRPr="0093616C">
        <w:rPr>
          <w:rFonts w:ascii="Arial" w:hAnsi="Arial" w:cs="Arial"/>
        </w:rPr>
        <w:t xml:space="preserve">, becomes </w:t>
      </w:r>
      <w:r w:rsidR="00D07618" w:rsidRPr="0093616C">
        <w:rPr>
          <w:rFonts w:ascii="Arial" w:hAnsi="Arial" w:cs="Arial"/>
        </w:rPr>
        <w:t xml:space="preserve">accurate by operation of the provisions of the 2012 Act.  Where this occurs, the </w:t>
      </w:r>
      <w:r w:rsidR="006158D8" w:rsidRPr="0093616C">
        <w:rPr>
          <w:rFonts w:ascii="Arial" w:hAnsi="Arial" w:cs="Arial"/>
        </w:rPr>
        <w:t xml:space="preserve">former inaccuracy becomes accurate and </w:t>
      </w:r>
      <w:r w:rsidR="00D07618" w:rsidRPr="0093616C">
        <w:rPr>
          <w:rFonts w:ascii="Arial" w:hAnsi="Arial" w:cs="Arial"/>
        </w:rPr>
        <w:t>not capable of rectification</w:t>
      </w:r>
      <w:r w:rsidR="006158D8" w:rsidRPr="0093616C">
        <w:rPr>
          <w:rFonts w:ascii="Arial" w:hAnsi="Arial" w:cs="Arial"/>
        </w:rPr>
        <w:t xml:space="preserve">, </w:t>
      </w:r>
      <w:r w:rsidR="00D07618" w:rsidRPr="0093616C">
        <w:rPr>
          <w:rFonts w:ascii="Arial" w:hAnsi="Arial" w:cs="Arial"/>
        </w:rPr>
        <w:t xml:space="preserve">therefore parties have lost the ability to have the register rectified to restore their rights.  Provided the parties can meet the tests as set out in the 2012 Act, then </w:t>
      </w:r>
      <w:r w:rsidR="00B7552F" w:rsidRPr="0093616C">
        <w:rPr>
          <w:rFonts w:ascii="Arial" w:hAnsi="Arial" w:cs="Arial"/>
        </w:rPr>
        <w:t>parties deprived of their rights</w:t>
      </w:r>
      <w:r w:rsidR="00D07618" w:rsidRPr="0093616C">
        <w:rPr>
          <w:rFonts w:ascii="Arial" w:hAnsi="Arial" w:cs="Arial"/>
        </w:rPr>
        <w:t xml:space="preserve"> are eligible to claim compensation for their losses.  Claims </w:t>
      </w:r>
      <w:r w:rsidR="006158D8" w:rsidRPr="0093616C">
        <w:rPr>
          <w:rFonts w:ascii="Arial" w:hAnsi="Arial" w:cs="Arial"/>
        </w:rPr>
        <w:t>of this nature</w:t>
      </w:r>
      <w:r w:rsidR="00D07618" w:rsidRPr="0093616C">
        <w:rPr>
          <w:rFonts w:ascii="Arial" w:hAnsi="Arial" w:cs="Arial"/>
        </w:rPr>
        <w:t xml:space="preserve"> been rare since the introduction of the 2012 Act.</w:t>
      </w:r>
    </w:p>
    <w:p w14:paraId="7A58E8C4" w14:textId="77F17620" w:rsidR="00D07618" w:rsidRPr="00011B35" w:rsidRDefault="00D07618" w:rsidP="005F6340">
      <w:pPr>
        <w:jc w:val="both"/>
        <w:rPr>
          <w:rFonts w:ascii="Arial" w:hAnsi="Arial" w:cs="Arial"/>
          <w:b/>
          <w:bCs/>
        </w:rPr>
      </w:pPr>
    </w:p>
    <w:p w14:paraId="67CD81E0" w14:textId="395341F7" w:rsidR="00D07618" w:rsidRPr="0093616C" w:rsidRDefault="00326540" w:rsidP="005F6340">
      <w:pPr>
        <w:pStyle w:val="ListParagraph"/>
        <w:ind w:left="0"/>
        <w:jc w:val="both"/>
        <w:rPr>
          <w:rFonts w:ascii="Arial" w:hAnsi="Arial" w:cs="Arial"/>
          <w:i/>
          <w:iCs/>
        </w:rPr>
      </w:pPr>
      <w:r w:rsidRPr="0093616C">
        <w:rPr>
          <w:rFonts w:ascii="Arial" w:hAnsi="Arial" w:cs="Arial"/>
          <w:i/>
          <w:iCs/>
        </w:rPr>
        <w:t>Incorrect</w:t>
      </w:r>
      <w:r w:rsidR="00D07618" w:rsidRPr="0093616C">
        <w:rPr>
          <w:rFonts w:ascii="Arial" w:hAnsi="Arial" w:cs="Arial"/>
          <w:i/>
          <w:iCs/>
        </w:rPr>
        <w:t xml:space="preserve"> information provided by the Keeper</w:t>
      </w:r>
      <w:r w:rsidR="00665924" w:rsidRPr="0093616C">
        <w:rPr>
          <w:rFonts w:ascii="Arial" w:hAnsi="Arial" w:cs="Arial"/>
          <w:i/>
          <w:iCs/>
        </w:rPr>
        <w:t xml:space="preserve"> and lost documents</w:t>
      </w:r>
    </w:p>
    <w:p w14:paraId="31B5585C" w14:textId="150B7F51" w:rsidR="00D07618" w:rsidRDefault="00D07618" w:rsidP="005F6340">
      <w:pPr>
        <w:jc w:val="both"/>
        <w:rPr>
          <w:rFonts w:ascii="Arial" w:hAnsi="Arial" w:cs="Arial"/>
        </w:rPr>
      </w:pPr>
    </w:p>
    <w:p w14:paraId="751FFB3F" w14:textId="6B7B6C46" w:rsidR="00D07618" w:rsidRPr="0093616C" w:rsidRDefault="00B7552F" w:rsidP="005F6340">
      <w:pPr>
        <w:pStyle w:val="ListParagraph"/>
        <w:numPr>
          <w:ilvl w:val="0"/>
          <w:numId w:val="3"/>
        </w:numPr>
        <w:ind w:left="0" w:firstLine="0"/>
        <w:jc w:val="both"/>
        <w:rPr>
          <w:rFonts w:ascii="Arial" w:hAnsi="Arial" w:cs="Arial"/>
        </w:rPr>
      </w:pPr>
      <w:r w:rsidRPr="0093616C">
        <w:rPr>
          <w:rFonts w:ascii="Arial" w:hAnsi="Arial" w:cs="Arial"/>
        </w:rPr>
        <w:t>The</w:t>
      </w:r>
      <w:r w:rsidR="00665924" w:rsidRPr="0093616C">
        <w:rPr>
          <w:rFonts w:ascii="Arial" w:hAnsi="Arial" w:cs="Arial"/>
        </w:rPr>
        <w:t xml:space="preserve"> Keeper </w:t>
      </w:r>
      <w:r w:rsidRPr="0093616C">
        <w:rPr>
          <w:rFonts w:ascii="Arial" w:hAnsi="Arial" w:cs="Arial"/>
        </w:rPr>
        <w:t>must</w:t>
      </w:r>
      <w:r w:rsidR="00665924" w:rsidRPr="0093616C">
        <w:rPr>
          <w:rFonts w:ascii="Arial" w:hAnsi="Arial" w:cs="Arial"/>
        </w:rPr>
        <w:t xml:space="preserve"> pay compensation should loss have incurred </w:t>
      </w:r>
      <w:r w:rsidR="00D004FA" w:rsidRPr="0093616C">
        <w:rPr>
          <w:rFonts w:ascii="Arial" w:hAnsi="Arial" w:cs="Arial"/>
        </w:rPr>
        <w:t>because of</w:t>
      </w:r>
      <w:r w:rsidR="00665924" w:rsidRPr="0093616C">
        <w:rPr>
          <w:rFonts w:ascii="Arial" w:hAnsi="Arial" w:cs="Arial"/>
        </w:rPr>
        <w:t xml:space="preserve"> reliance on inaccurate information provided by the Keeper for example in a report</w:t>
      </w:r>
      <w:r w:rsidRPr="0093616C">
        <w:rPr>
          <w:rFonts w:ascii="Arial" w:hAnsi="Arial" w:cs="Arial"/>
        </w:rPr>
        <w:t>, or as a result of a document having been lost destroyed or damaged while in the care of the Keeper.</w:t>
      </w:r>
    </w:p>
    <w:p w14:paraId="4590B87D" w14:textId="77777777" w:rsidR="00D07618" w:rsidRPr="00011B35" w:rsidRDefault="00D07618" w:rsidP="005F6340">
      <w:pPr>
        <w:pStyle w:val="ListParagraph"/>
        <w:ind w:left="0"/>
        <w:jc w:val="both"/>
        <w:rPr>
          <w:rFonts w:ascii="Arial" w:hAnsi="Arial" w:cs="Arial"/>
          <w:b/>
          <w:bCs/>
        </w:rPr>
      </w:pPr>
    </w:p>
    <w:p w14:paraId="054DB0F3" w14:textId="149BD567" w:rsidR="00D07618" w:rsidRPr="0093616C" w:rsidRDefault="00D07618" w:rsidP="005F6340">
      <w:pPr>
        <w:pStyle w:val="ListParagraph"/>
        <w:ind w:left="0"/>
        <w:jc w:val="both"/>
        <w:rPr>
          <w:rFonts w:ascii="Arial" w:hAnsi="Arial" w:cs="Arial"/>
          <w:i/>
          <w:iCs/>
        </w:rPr>
      </w:pPr>
      <w:r w:rsidRPr="0093616C">
        <w:rPr>
          <w:rFonts w:ascii="Arial" w:hAnsi="Arial" w:cs="Arial"/>
          <w:i/>
          <w:iCs/>
        </w:rPr>
        <w:t>Ex</w:t>
      </w:r>
      <w:r w:rsidR="006735F0" w:rsidRPr="0093616C">
        <w:rPr>
          <w:rFonts w:ascii="Arial" w:hAnsi="Arial" w:cs="Arial"/>
          <w:i/>
          <w:iCs/>
        </w:rPr>
        <w:t xml:space="preserve"> g</w:t>
      </w:r>
      <w:r w:rsidRPr="0093616C">
        <w:rPr>
          <w:rFonts w:ascii="Arial" w:hAnsi="Arial" w:cs="Arial"/>
          <w:i/>
          <w:iCs/>
        </w:rPr>
        <w:t>ratia payments</w:t>
      </w:r>
    </w:p>
    <w:p w14:paraId="65D80E64" w14:textId="77777777" w:rsidR="00D07618" w:rsidRPr="00E10682" w:rsidRDefault="00D07618" w:rsidP="005F6340">
      <w:pPr>
        <w:jc w:val="both"/>
        <w:rPr>
          <w:rFonts w:ascii="Arial" w:hAnsi="Arial" w:cs="Arial"/>
        </w:rPr>
      </w:pPr>
    </w:p>
    <w:p w14:paraId="0E6CAD28" w14:textId="0297F35E" w:rsidR="00D07618" w:rsidRPr="0093616C" w:rsidRDefault="00665924" w:rsidP="005F6340">
      <w:pPr>
        <w:pStyle w:val="ListParagraph"/>
        <w:numPr>
          <w:ilvl w:val="0"/>
          <w:numId w:val="3"/>
        </w:numPr>
        <w:ind w:left="0" w:firstLine="0"/>
        <w:jc w:val="both"/>
        <w:rPr>
          <w:rFonts w:ascii="Arial" w:hAnsi="Arial" w:cs="Arial"/>
        </w:rPr>
      </w:pPr>
      <w:r w:rsidRPr="0093616C">
        <w:rPr>
          <w:rFonts w:ascii="Arial" w:hAnsi="Arial" w:cs="Arial"/>
        </w:rPr>
        <w:t>Ex</w:t>
      </w:r>
      <w:r w:rsidR="00B7552F" w:rsidRPr="0093616C">
        <w:rPr>
          <w:rFonts w:ascii="Arial" w:hAnsi="Arial" w:cs="Arial"/>
        </w:rPr>
        <w:t xml:space="preserve"> gratia payments are made only in exceptional circumstances where loss has occurred as a result of perceived substandard service or maladministration but </w:t>
      </w:r>
      <w:r w:rsidR="00824D14" w:rsidRPr="0093616C">
        <w:rPr>
          <w:rFonts w:ascii="Arial" w:hAnsi="Arial" w:cs="Arial"/>
        </w:rPr>
        <w:t xml:space="preserve">where </w:t>
      </w:r>
      <w:r w:rsidR="00B7552F" w:rsidRPr="0093616C">
        <w:rPr>
          <w:rFonts w:ascii="Arial" w:hAnsi="Arial" w:cs="Arial"/>
        </w:rPr>
        <w:t xml:space="preserve">the Keeper has no statutory obligation to pay this.  Payments are made where doing so will secure better value for the public purse than would otherwise be possible (for example </w:t>
      </w:r>
      <w:r w:rsidR="001C302B" w:rsidRPr="0093616C">
        <w:rPr>
          <w:rFonts w:ascii="Arial" w:hAnsi="Arial" w:cs="Arial"/>
        </w:rPr>
        <w:t xml:space="preserve">bearing </w:t>
      </w:r>
      <w:r w:rsidR="00B7552F" w:rsidRPr="0093616C">
        <w:rPr>
          <w:rFonts w:ascii="Arial" w:hAnsi="Arial" w:cs="Arial"/>
        </w:rPr>
        <w:t>the costs of litigation</w:t>
      </w:r>
      <w:r w:rsidR="001C302B" w:rsidRPr="0093616C">
        <w:rPr>
          <w:rFonts w:ascii="Arial" w:hAnsi="Arial" w:cs="Arial"/>
        </w:rPr>
        <w:t xml:space="preserve"> against the Keeper</w:t>
      </w:r>
      <w:r w:rsidR="00B7552F" w:rsidRPr="0093616C">
        <w:rPr>
          <w:rFonts w:ascii="Arial" w:hAnsi="Arial" w:cs="Arial"/>
        </w:rPr>
        <w:t>).</w:t>
      </w:r>
    </w:p>
    <w:p w14:paraId="0CE4D846" w14:textId="77777777" w:rsidR="006735F0" w:rsidRDefault="006735F0" w:rsidP="005F6340">
      <w:pPr>
        <w:jc w:val="both"/>
        <w:rPr>
          <w:rFonts w:ascii="Arial" w:hAnsi="Arial" w:cs="Arial"/>
        </w:rPr>
      </w:pPr>
    </w:p>
    <w:p w14:paraId="15429FF0" w14:textId="28E8FAA8" w:rsidR="00B7552F" w:rsidRPr="0093616C" w:rsidRDefault="00B7552F" w:rsidP="005F6340">
      <w:pPr>
        <w:jc w:val="both"/>
        <w:rPr>
          <w:rFonts w:ascii="Arial" w:hAnsi="Arial" w:cs="Arial"/>
          <w:b/>
          <w:bCs/>
        </w:rPr>
      </w:pPr>
      <w:r w:rsidRPr="0093616C">
        <w:rPr>
          <w:rFonts w:ascii="Arial" w:hAnsi="Arial" w:cs="Arial"/>
          <w:b/>
          <w:bCs/>
        </w:rPr>
        <w:t>Limits of Keeper’s liability</w:t>
      </w:r>
    </w:p>
    <w:p w14:paraId="79FEDA80" w14:textId="4111547D" w:rsidR="00B7552F" w:rsidRDefault="00B7552F" w:rsidP="005F6340">
      <w:pPr>
        <w:jc w:val="both"/>
        <w:rPr>
          <w:rFonts w:ascii="Arial" w:hAnsi="Arial" w:cs="Arial"/>
        </w:rPr>
      </w:pPr>
    </w:p>
    <w:p w14:paraId="50E32024" w14:textId="5357A011" w:rsidR="00B7552F" w:rsidRDefault="00B7552F" w:rsidP="005F6340">
      <w:pPr>
        <w:pStyle w:val="ListParagraph"/>
        <w:numPr>
          <w:ilvl w:val="0"/>
          <w:numId w:val="3"/>
        </w:numPr>
        <w:ind w:left="0" w:firstLine="0"/>
        <w:jc w:val="both"/>
        <w:rPr>
          <w:rFonts w:ascii="Arial" w:hAnsi="Arial" w:cs="Arial"/>
        </w:rPr>
      </w:pPr>
      <w:r w:rsidRPr="0093616C">
        <w:rPr>
          <w:rFonts w:ascii="Arial" w:hAnsi="Arial" w:cs="Arial"/>
        </w:rPr>
        <w:t>The Keeper is liable only to the extent provided by the 2012 Act</w:t>
      </w:r>
      <w:r w:rsidR="00326540" w:rsidRPr="0093616C">
        <w:rPr>
          <w:rFonts w:ascii="Arial" w:hAnsi="Arial" w:cs="Arial"/>
        </w:rPr>
        <w:t>.  T</w:t>
      </w:r>
      <w:r w:rsidRPr="0093616C">
        <w:rPr>
          <w:rFonts w:ascii="Arial" w:hAnsi="Arial" w:cs="Arial"/>
        </w:rPr>
        <w:t>his excludes non-patrimonial loss (claims for pain and suffering), nor is the Keeper liable for the costs of unsuccessful claims.</w:t>
      </w:r>
      <w:r w:rsidR="00824D14" w:rsidRPr="0093616C">
        <w:rPr>
          <w:rFonts w:ascii="Arial" w:hAnsi="Arial" w:cs="Arial"/>
        </w:rPr>
        <w:t xml:space="preserve">  The Keeper is not liable to pay compensation </w:t>
      </w:r>
      <w:r w:rsidR="00C57031" w:rsidRPr="0093616C">
        <w:rPr>
          <w:rFonts w:ascii="Arial" w:hAnsi="Arial" w:cs="Arial"/>
        </w:rPr>
        <w:t xml:space="preserve">in some </w:t>
      </w:r>
      <w:r w:rsidR="00C57031" w:rsidRPr="0093616C">
        <w:rPr>
          <w:rFonts w:ascii="Arial" w:hAnsi="Arial" w:cs="Arial"/>
        </w:rPr>
        <w:lastRenderedPageBreak/>
        <w:t>circumstances which include but are not limited to the following examples:  the register is inaccurate in showing a servitude which has since extinguished</w:t>
      </w:r>
      <w:r w:rsidR="00824D14" w:rsidRPr="0093616C">
        <w:rPr>
          <w:rFonts w:ascii="Arial" w:hAnsi="Arial" w:cs="Arial"/>
        </w:rPr>
        <w:t>; as a result in error arising from reasonable reliance on the Ordnance Survey map, and where the inaccuracy was caused by an act or omission on behalf of the applicant or claimant.</w:t>
      </w:r>
    </w:p>
    <w:p w14:paraId="63A48291" w14:textId="77777777" w:rsidR="00477FF4" w:rsidRDefault="00477FF4" w:rsidP="005F6340">
      <w:pPr>
        <w:pStyle w:val="ListParagraph"/>
        <w:ind w:left="0"/>
        <w:jc w:val="both"/>
        <w:rPr>
          <w:rFonts w:ascii="Arial" w:hAnsi="Arial" w:cs="Arial"/>
        </w:rPr>
      </w:pPr>
    </w:p>
    <w:p w14:paraId="28E6A438" w14:textId="77777777" w:rsidR="00477FF4" w:rsidRPr="00326540" w:rsidRDefault="00477FF4" w:rsidP="005F6340">
      <w:pPr>
        <w:jc w:val="both"/>
        <w:rPr>
          <w:rFonts w:ascii="Arial" w:hAnsi="Arial" w:cs="Arial"/>
          <w:b/>
        </w:rPr>
      </w:pPr>
      <w:r w:rsidRPr="00326540">
        <w:rPr>
          <w:rFonts w:ascii="Arial" w:hAnsi="Arial" w:cs="Arial"/>
          <w:b/>
        </w:rPr>
        <w:t>Subrogation and Loss Recovery</w:t>
      </w:r>
    </w:p>
    <w:p w14:paraId="3336C239" w14:textId="77777777" w:rsidR="00477FF4" w:rsidRPr="00326540" w:rsidRDefault="00477FF4" w:rsidP="005F6340">
      <w:pPr>
        <w:pStyle w:val="ListParagraph"/>
        <w:ind w:left="0"/>
        <w:jc w:val="both"/>
        <w:rPr>
          <w:rFonts w:ascii="Arial" w:hAnsi="Arial" w:cs="Arial"/>
          <w:bCs/>
        </w:rPr>
      </w:pPr>
    </w:p>
    <w:p w14:paraId="56C5E24B" w14:textId="77777777" w:rsidR="00477FF4" w:rsidRPr="00477FF4" w:rsidRDefault="00477FF4" w:rsidP="005F6340">
      <w:pPr>
        <w:pStyle w:val="ListParagraph"/>
        <w:numPr>
          <w:ilvl w:val="0"/>
          <w:numId w:val="3"/>
        </w:numPr>
        <w:ind w:left="0" w:firstLine="0"/>
        <w:jc w:val="both"/>
        <w:rPr>
          <w:rFonts w:ascii="Arial" w:hAnsi="Arial" w:cs="Arial"/>
          <w:bCs/>
        </w:rPr>
      </w:pPr>
      <w:r w:rsidRPr="00477FF4">
        <w:rPr>
          <w:rFonts w:ascii="Arial" w:hAnsi="Arial" w:cs="Arial"/>
          <w:bCs/>
        </w:rPr>
        <w:t xml:space="preserve">The risk that the Keeper is exposed to is mitigated by exceptions to payment of warranty (e.g. where the inaccuracy that led to the breach of warranty was the fault of the applicant conform to section 78 of the 2012 Act), and the ability for the Keeper to seek recovery of losses in turn from the person who made the register inaccurate (s77(5)), or their agents (s111(5)) (known as subrogation).  This enables the Keeper to ‘step into the shoes’ of the claimant and pursue any party liable for the loss for recovery of that loss.  </w:t>
      </w:r>
    </w:p>
    <w:p w14:paraId="7F955312" w14:textId="77777777" w:rsidR="00477FF4" w:rsidRPr="00477FF4" w:rsidRDefault="00477FF4" w:rsidP="005F6340">
      <w:pPr>
        <w:jc w:val="both"/>
        <w:rPr>
          <w:rFonts w:ascii="Arial" w:hAnsi="Arial" w:cs="Arial"/>
        </w:rPr>
      </w:pPr>
    </w:p>
    <w:p w14:paraId="40A42224" w14:textId="77777777" w:rsidR="00B7552F" w:rsidRPr="00E10682" w:rsidRDefault="00B7552F" w:rsidP="008F0188">
      <w:pPr>
        <w:ind w:left="360"/>
        <w:jc w:val="both"/>
        <w:rPr>
          <w:rFonts w:ascii="Arial" w:hAnsi="Arial" w:cs="Arial"/>
        </w:rPr>
      </w:pPr>
    </w:p>
    <w:p w14:paraId="3B635113" w14:textId="77777777" w:rsidR="00296E22" w:rsidRPr="00011B35" w:rsidRDefault="00296E22" w:rsidP="008F0188">
      <w:pPr>
        <w:spacing w:after="160"/>
        <w:jc w:val="both"/>
        <w:rPr>
          <w:rFonts w:ascii="Arial" w:hAnsi="Arial" w:cs="Arial"/>
        </w:rPr>
      </w:pPr>
    </w:p>
    <w:p w14:paraId="49F5D8E4" w14:textId="77777777" w:rsidR="00D71DEC" w:rsidRPr="007F1406" w:rsidRDefault="00D71DEC" w:rsidP="008F0188">
      <w:pPr>
        <w:jc w:val="both"/>
        <w:rPr>
          <w:rFonts w:ascii="Arial" w:hAnsi="Arial" w:cs="Arial"/>
          <w:bCs/>
        </w:rPr>
      </w:pPr>
    </w:p>
    <w:sectPr w:rsidR="00D71DEC" w:rsidRPr="007F1406" w:rsidSect="005F6340">
      <w:headerReference w:type="default" r:id="rId11"/>
      <w:pgSz w:w="11906" w:h="16838"/>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72F4" w14:textId="77777777" w:rsidR="00310A35" w:rsidRDefault="00310A35" w:rsidP="003D7944">
      <w:r>
        <w:separator/>
      </w:r>
    </w:p>
  </w:endnote>
  <w:endnote w:type="continuationSeparator" w:id="0">
    <w:p w14:paraId="1AD9F36F" w14:textId="77777777" w:rsidR="00310A35" w:rsidRDefault="00310A35"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D53D" w14:textId="77777777" w:rsidR="00310A35" w:rsidRDefault="00310A35" w:rsidP="003D7944">
      <w:r>
        <w:separator/>
      </w:r>
    </w:p>
  </w:footnote>
  <w:footnote w:type="continuationSeparator" w:id="0">
    <w:p w14:paraId="1D129701" w14:textId="77777777" w:rsidR="00310A35" w:rsidRDefault="00310A35" w:rsidP="003D7944">
      <w:r>
        <w:continuationSeparator/>
      </w:r>
    </w:p>
  </w:footnote>
  <w:footnote w:id="1">
    <w:p w14:paraId="2CA10E95" w14:textId="291274A3" w:rsidR="001B106F" w:rsidRDefault="001B106F">
      <w:pPr>
        <w:pStyle w:val="FootnoteText"/>
      </w:pPr>
      <w:r>
        <w:rPr>
          <w:rStyle w:val="FootnoteReference"/>
        </w:rPr>
        <w:footnoteRef/>
      </w:r>
      <w:r>
        <w:t xml:space="preserve"> App create, updated creditor picklists and address base, Register Land and Property and, ultimately, creation of electronic deeds for registration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9564" w14:textId="6DEF81AC" w:rsidR="00196E46" w:rsidRDefault="003D7944" w:rsidP="00196E46">
    <w:pPr>
      <w:rPr>
        <w:rFonts w:ascii="Arial" w:hAnsi="Arial" w:cs="Arial"/>
        <w:i/>
      </w:rPr>
    </w:pPr>
    <w:r>
      <w:tab/>
    </w:r>
    <w:r>
      <w:tab/>
    </w:r>
    <w:r w:rsidR="00196E46">
      <w:tab/>
    </w:r>
    <w:r w:rsidR="00196E46">
      <w:tab/>
    </w:r>
    <w:r w:rsidR="00196E46">
      <w:tab/>
    </w:r>
    <w:r w:rsidR="00196E46">
      <w:tab/>
    </w:r>
    <w:r w:rsidR="00196E46">
      <w:tab/>
    </w:r>
    <w:r w:rsidR="00196E46">
      <w:tab/>
    </w:r>
    <w:r w:rsidR="00196E46">
      <w:tab/>
    </w:r>
    <w:r w:rsidR="00196E46">
      <w:rPr>
        <w:rFonts w:ascii="Arial" w:hAnsi="Arial" w:cs="Arial"/>
        <w:i/>
      </w:rPr>
      <w:t>RoSBrd2021/12/18</w:t>
    </w:r>
  </w:p>
  <w:p w14:paraId="6F1F35AA" w14:textId="7E15D4D9" w:rsidR="003D7944" w:rsidRDefault="003D7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47D"/>
    <w:multiLevelType w:val="multilevel"/>
    <w:tmpl w:val="D9623156"/>
    <w:lvl w:ilvl="0">
      <w:start w:val="6"/>
      <w:numFmt w:val="decimal"/>
      <w:lvlText w:val="%1"/>
      <w:lvlJc w:val="left"/>
      <w:pPr>
        <w:ind w:left="360" w:hanging="360"/>
      </w:pPr>
      <w:rPr>
        <w:rFonts w:hint="default"/>
        <w:b w:val="0"/>
        <w:bCs w:val="0"/>
        <w:i w:val="0"/>
        <w:iCs w:val="0"/>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9BB1E0A"/>
    <w:multiLevelType w:val="hybridMultilevel"/>
    <w:tmpl w:val="B1CEB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1847B6"/>
    <w:multiLevelType w:val="hybridMultilevel"/>
    <w:tmpl w:val="CA468BCC"/>
    <w:lvl w:ilvl="0" w:tplc="43A0D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366D6"/>
    <w:multiLevelType w:val="hybridMultilevel"/>
    <w:tmpl w:val="B8BE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07733"/>
    <w:rsid w:val="00011B35"/>
    <w:rsid w:val="0003406C"/>
    <w:rsid w:val="00041D1C"/>
    <w:rsid w:val="00044658"/>
    <w:rsid w:val="00044DBA"/>
    <w:rsid w:val="00067750"/>
    <w:rsid w:val="00067EC5"/>
    <w:rsid w:val="00072E9D"/>
    <w:rsid w:val="00073C42"/>
    <w:rsid w:val="000807D6"/>
    <w:rsid w:val="0009417F"/>
    <w:rsid w:val="000A7F07"/>
    <w:rsid w:val="000C20E9"/>
    <w:rsid w:val="000C3E4A"/>
    <w:rsid w:val="000C627E"/>
    <w:rsid w:val="000D0ECE"/>
    <w:rsid w:val="000D505C"/>
    <w:rsid w:val="000F341F"/>
    <w:rsid w:val="00101837"/>
    <w:rsid w:val="00105682"/>
    <w:rsid w:val="0012140F"/>
    <w:rsid w:val="0012639F"/>
    <w:rsid w:val="00131277"/>
    <w:rsid w:val="001371E8"/>
    <w:rsid w:val="00142D55"/>
    <w:rsid w:val="001549AD"/>
    <w:rsid w:val="00171EEF"/>
    <w:rsid w:val="00186245"/>
    <w:rsid w:val="00196E46"/>
    <w:rsid w:val="001B106F"/>
    <w:rsid w:val="001B2EE2"/>
    <w:rsid w:val="001B7319"/>
    <w:rsid w:val="001C302B"/>
    <w:rsid w:val="001E3F70"/>
    <w:rsid w:val="00202132"/>
    <w:rsid w:val="00224CCA"/>
    <w:rsid w:val="00236EFE"/>
    <w:rsid w:val="00256F15"/>
    <w:rsid w:val="002576E7"/>
    <w:rsid w:val="00280C53"/>
    <w:rsid w:val="0029384F"/>
    <w:rsid w:val="00296E22"/>
    <w:rsid w:val="002A391F"/>
    <w:rsid w:val="002A3BB0"/>
    <w:rsid w:val="002A6CB9"/>
    <w:rsid w:val="002B0A30"/>
    <w:rsid w:val="002B5886"/>
    <w:rsid w:val="002B61E4"/>
    <w:rsid w:val="002C4794"/>
    <w:rsid w:val="002C6EA2"/>
    <w:rsid w:val="002C7131"/>
    <w:rsid w:val="002C7FAB"/>
    <w:rsid w:val="002E3514"/>
    <w:rsid w:val="002E4AF7"/>
    <w:rsid w:val="002E5703"/>
    <w:rsid w:val="002F08D3"/>
    <w:rsid w:val="003019CB"/>
    <w:rsid w:val="00310A35"/>
    <w:rsid w:val="00326540"/>
    <w:rsid w:val="00327F4C"/>
    <w:rsid w:val="00332F46"/>
    <w:rsid w:val="0034192B"/>
    <w:rsid w:val="0034239F"/>
    <w:rsid w:val="0034386D"/>
    <w:rsid w:val="00366624"/>
    <w:rsid w:val="00367C3A"/>
    <w:rsid w:val="003714FC"/>
    <w:rsid w:val="0037696D"/>
    <w:rsid w:val="00394DAE"/>
    <w:rsid w:val="003C26A4"/>
    <w:rsid w:val="003D7944"/>
    <w:rsid w:val="003E529A"/>
    <w:rsid w:val="003F077D"/>
    <w:rsid w:val="004076D2"/>
    <w:rsid w:val="00412C20"/>
    <w:rsid w:val="00414A5A"/>
    <w:rsid w:val="004254B3"/>
    <w:rsid w:val="00430A48"/>
    <w:rsid w:val="00430DCE"/>
    <w:rsid w:val="0044704D"/>
    <w:rsid w:val="0045069E"/>
    <w:rsid w:val="00466A2E"/>
    <w:rsid w:val="004721F9"/>
    <w:rsid w:val="00473FD1"/>
    <w:rsid w:val="00477FF4"/>
    <w:rsid w:val="004A33F0"/>
    <w:rsid w:val="004B4422"/>
    <w:rsid w:val="004C4170"/>
    <w:rsid w:val="004C44FC"/>
    <w:rsid w:val="004D453A"/>
    <w:rsid w:val="004F4967"/>
    <w:rsid w:val="0052163C"/>
    <w:rsid w:val="005303CA"/>
    <w:rsid w:val="00531024"/>
    <w:rsid w:val="0053200F"/>
    <w:rsid w:val="00556644"/>
    <w:rsid w:val="00571F60"/>
    <w:rsid w:val="0059119A"/>
    <w:rsid w:val="005A7301"/>
    <w:rsid w:val="005C08A5"/>
    <w:rsid w:val="005E35CD"/>
    <w:rsid w:val="005F6340"/>
    <w:rsid w:val="006102A8"/>
    <w:rsid w:val="006158D8"/>
    <w:rsid w:val="00616DCB"/>
    <w:rsid w:val="006477EB"/>
    <w:rsid w:val="00655EC5"/>
    <w:rsid w:val="00665924"/>
    <w:rsid w:val="006735F0"/>
    <w:rsid w:val="006747CA"/>
    <w:rsid w:val="00674E21"/>
    <w:rsid w:val="0068229E"/>
    <w:rsid w:val="006B2151"/>
    <w:rsid w:val="006C1144"/>
    <w:rsid w:val="006D62CD"/>
    <w:rsid w:val="006E77DB"/>
    <w:rsid w:val="0070790D"/>
    <w:rsid w:val="0075182C"/>
    <w:rsid w:val="0076244E"/>
    <w:rsid w:val="007657E5"/>
    <w:rsid w:val="00777D60"/>
    <w:rsid w:val="0078175F"/>
    <w:rsid w:val="0078730D"/>
    <w:rsid w:val="00791DA0"/>
    <w:rsid w:val="007967FE"/>
    <w:rsid w:val="007B046B"/>
    <w:rsid w:val="007D51F8"/>
    <w:rsid w:val="007E41FD"/>
    <w:rsid w:val="007F1406"/>
    <w:rsid w:val="007F2E21"/>
    <w:rsid w:val="008221EE"/>
    <w:rsid w:val="00824D14"/>
    <w:rsid w:val="00826014"/>
    <w:rsid w:val="00830FD7"/>
    <w:rsid w:val="00854043"/>
    <w:rsid w:val="00882ED0"/>
    <w:rsid w:val="008853DA"/>
    <w:rsid w:val="008A0F17"/>
    <w:rsid w:val="008A2160"/>
    <w:rsid w:val="008B6E04"/>
    <w:rsid w:val="008C0C48"/>
    <w:rsid w:val="008C6FFD"/>
    <w:rsid w:val="008D6760"/>
    <w:rsid w:val="008D7978"/>
    <w:rsid w:val="008F0188"/>
    <w:rsid w:val="008F529F"/>
    <w:rsid w:val="0093616C"/>
    <w:rsid w:val="00952DC2"/>
    <w:rsid w:val="00A032BD"/>
    <w:rsid w:val="00A35EF6"/>
    <w:rsid w:val="00A41C37"/>
    <w:rsid w:val="00A42384"/>
    <w:rsid w:val="00A56D2D"/>
    <w:rsid w:val="00A60534"/>
    <w:rsid w:val="00A70714"/>
    <w:rsid w:val="00A770B0"/>
    <w:rsid w:val="00A838F8"/>
    <w:rsid w:val="00A8745A"/>
    <w:rsid w:val="00A90176"/>
    <w:rsid w:val="00A9516D"/>
    <w:rsid w:val="00AB0006"/>
    <w:rsid w:val="00AB1F3E"/>
    <w:rsid w:val="00AB5CAC"/>
    <w:rsid w:val="00AB716C"/>
    <w:rsid w:val="00AB7FDF"/>
    <w:rsid w:val="00AC3153"/>
    <w:rsid w:val="00AD2111"/>
    <w:rsid w:val="00AE1024"/>
    <w:rsid w:val="00AF4679"/>
    <w:rsid w:val="00B03EB0"/>
    <w:rsid w:val="00B23594"/>
    <w:rsid w:val="00B27045"/>
    <w:rsid w:val="00B46805"/>
    <w:rsid w:val="00B47E1D"/>
    <w:rsid w:val="00B505FF"/>
    <w:rsid w:val="00B6597E"/>
    <w:rsid w:val="00B7051C"/>
    <w:rsid w:val="00B7552F"/>
    <w:rsid w:val="00B77D1C"/>
    <w:rsid w:val="00B82A6A"/>
    <w:rsid w:val="00B833AF"/>
    <w:rsid w:val="00B9407C"/>
    <w:rsid w:val="00BA1550"/>
    <w:rsid w:val="00BD3FCC"/>
    <w:rsid w:val="00C00FD0"/>
    <w:rsid w:val="00C056F9"/>
    <w:rsid w:val="00C25FA9"/>
    <w:rsid w:val="00C4342A"/>
    <w:rsid w:val="00C5338F"/>
    <w:rsid w:val="00C57031"/>
    <w:rsid w:val="00C76B38"/>
    <w:rsid w:val="00C841C2"/>
    <w:rsid w:val="00C84A39"/>
    <w:rsid w:val="00C95CF4"/>
    <w:rsid w:val="00CB5650"/>
    <w:rsid w:val="00CD6458"/>
    <w:rsid w:val="00CF67B9"/>
    <w:rsid w:val="00CF76C5"/>
    <w:rsid w:val="00D004FA"/>
    <w:rsid w:val="00D027CA"/>
    <w:rsid w:val="00D07618"/>
    <w:rsid w:val="00D45318"/>
    <w:rsid w:val="00D558DA"/>
    <w:rsid w:val="00D65B9F"/>
    <w:rsid w:val="00D71DEC"/>
    <w:rsid w:val="00D81419"/>
    <w:rsid w:val="00D8751D"/>
    <w:rsid w:val="00D90B9D"/>
    <w:rsid w:val="00D92CFA"/>
    <w:rsid w:val="00D94958"/>
    <w:rsid w:val="00DE43C5"/>
    <w:rsid w:val="00DF1AA6"/>
    <w:rsid w:val="00DF4FCC"/>
    <w:rsid w:val="00E10682"/>
    <w:rsid w:val="00E12DA6"/>
    <w:rsid w:val="00E308F4"/>
    <w:rsid w:val="00E30D3F"/>
    <w:rsid w:val="00E44EE5"/>
    <w:rsid w:val="00E50769"/>
    <w:rsid w:val="00E51896"/>
    <w:rsid w:val="00E53D6F"/>
    <w:rsid w:val="00E61647"/>
    <w:rsid w:val="00E65113"/>
    <w:rsid w:val="00E66C54"/>
    <w:rsid w:val="00E67A60"/>
    <w:rsid w:val="00E753D2"/>
    <w:rsid w:val="00E836F8"/>
    <w:rsid w:val="00E87096"/>
    <w:rsid w:val="00EC6818"/>
    <w:rsid w:val="00EE15F8"/>
    <w:rsid w:val="00EF40F2"/>
    <w:rsid w:val="00EF7E14"/>
    <w:rsid w:val="00F17DF1"/>
    <w:rsid w:val="00F20B06"/>
    <w:rsid w:val="00F215A1"/>
    <w:rsid w:val="00F55A05"/>
    <w:rsid w:val="00F60DA9"/>
    <w:rsid w:val="00F75879"/>
    <w:rsid w:val="00F90C4E"/>
    <w:rsid w:val="00F9432D"/>
    <w:rsid w:val="00FA2E6D"/>
    <w:rsid w:val="00FB6AE2"/>
    <w:rsid w:val="00FE5B07"/>
    <w:rsid w:val="00FF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Párrafo de lista,MAIN CONTENT,Recommendation,List Paragraph2"/>
    <w:basedOn w:val="Normal"/>
    <w:link w:val="ListParagraphChar"/>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paragraph" w:styleId="FootnoteText">
    <w:name w:val="footnote text"/>
    <w:basedOn w:val="Normal"/>
    <w:link w:val="FootnoteTextChar"/>
    <w:uiPriority w:val="99"/>
    <w:semiHidden/>
    <w:unhideWhenUsed/>
    <w:rsid w:val="007F140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F1406"/>
    <w:rPr>
      <w:sz w:val="20"/>
      <w:szCs w:val="20"/>
    </w:rPr>
  </w:style>
  <w:style w:type="character" w:styleId="FootnoteReference">
    <w:name w:val="footnote reference"/>
    <w:basedOn w:val="DefaultParagraphFont"/>
    <w:uiPriority w:val="99"/>
    <w:semiHidden/>
    <w:unhideWhenUsed/>
    <w:rsid w:val="007F1406"/>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7F140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C7FAB"/>
    <w:rPr>
      <w:sz w:val="16"/>
      <w:szCs w:val="16"/>
    </w:rPr>
  </w:style>
  <w:style w:type="paragraph" w:styleId="CommentText">
    <w:name w:val="annotation text"/>
    <w:basedOn w:val="Normal"/>
    <w:link w:val="CommentTextChar"/>
    <w:uiPriority w:val="99"/>
    <w:semiHidden/>
    <w:unhideWhenUsed/>
    <w:rsid w:val="002C7FAB"/>
    <w:rPr>
      <w:sz w:val="20"/>
      <w:szCs w:val="20"/>
    </w:rPr>
  </w:style>
  <w:style w:type="character" w:customStyle="1" w:styleId="CommentTextChar">
    <w:name w:val="Comment Text Char"/>
    <w:basedOn w:val="DefaultParagraphFont"/>
    <w:link w:val="CommentText"/>
    <w:uiPriority w:val="99"/>
    <w:semiHidden/>
    <w:rsid w:val="002C7FA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C7FAB"/>
    <w:rPr>
      <w:b/>
      <w:bCs/>
    </w:rPr>
  </w:style>
  <w:style w:type="character" w:customStyle="1" w:styleId="CommentSubjectChar">
    <w:name w:val="Comment Subject Char"/>
    <w:basedOn w:val="CommentTextChar"/>
    <w:link w:val="CommentSubject"/>
    <w:uiPriority w:val="99"/>
    <w:semiHidden/>
    <w:rsid w:val="002C7FA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ros.local\UserHomes_Root\Userhomes\nroscoe\Desktop\Fake%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os.local\UserHomes_Root\Userhomes\nroscoe\Desktop\Fake%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os.local\UserHomes_Root\Userhomes\nroscoe\Desktop\Fake%20grap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Claims</a:t>
            </a:r>
            <a:r>
              <a:rPr lang="en-GB" baseline="0"/>
              <a:t> Made vs Payments Made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Average of financial years 16/17 to 19/20</c:v>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Claims Received</c:v>
                </c:pt>
                <c:pt idx="1">
                  <c:v>Number of Payments</c:v>
                </c:pt>
              </c:strCache>
            </c:strRef>
          </c:cat>
          <c:val>
            <c:numRef>
              <c:f>Sheet1!$B$5:$B$6</c:f>
              <c:numCache>
                <c:formatCode>General</c:formatCode>
                <c:ptCount val="2"/>
                <c:pt idx="0">
                  <c:v>641</c:v>
                </c:pt>
                <c:pt idx="1">
                  <c:v>486</c:v>
                </c:pt>
              </c:numCache>
            </c:numRef>
          </c:val>
          <c:extLst>
            <c:ext xmlns:c16="http://schemas.microsoft.com/office/drawing/2014/chart" uri="{C3380CC4-5D6E-409C-BE32-E72D297353CC}">
              <c16:uniqueId val="{00000000-803B-4042-B92B-A7E8FEA3ADEC}"/>
            </c:ext>
          </c:extLst>
        </c:ser>
        <c:ser>
          <c:idx val="1"/>
          <c:order val="1"/>
          <c:tx>
            <c:v>Financial year 20/21</c:v>
          </c:tx>
          <c:spPr>
            <a:solidFill>
              <a:srgbClr val="C4CC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Claims Received</c:v>
                </c:pt>
                <c:pt idx="1">
                  <c:v>Number of Payments</c:v>
                </c:pt>
              </c:strCache>
            </c:strRef>
          </c:cat>
          <c:val>
            <c:numRef>
              <c:f>Sheet1!$C$5:$C$6</c:f>
              <c:numCache>
                <c:formatCode>General</c:formatCode>
                <c:ptCount val="2"/>
                <c:pt idx="0">
                  <c:v>189</c:v>
                </c:pt>
                <c:pt idx="1">
                  <c:v>148</c:v>
                </c:pt>
              </c:numCache>
            </c:numRef>
          </c:val>
          <c:extLst>
            <c:ext xmlns:c16="http://schemas.microsoft.com/office/drawing/2014/chart" uri="{C3380CC4-5D6E-409C-BE32-E72D297353CC}">
              <c16:uniqueId val="{00000001-803B-4042-B92B-A7E8FEA3ADEC}"/>
            </c:ext>
          </c:extLst>
        </c:ser>
        <c:dLbls>
          <c:dLblPos val="outEnd"/>
          <c:showLegendKey val="0"/>
          <c:showVal val="1"/>
          <c:showCatName val="0"/>
          <c:showSerName val="0"/>
          <c:showPercent val="0"/>
          <c:showBubbleSize val="0"/>
        </c:dLbls>
        <c:gapWidth val="219"/>
        <c:overlap val="-27"/>
        <c:axId val="1144549487"/>
        <c:axId val="1144525359"/>
      </c:barChart>
      <c:catAx>
        <c:axId val="1144549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4525359"/>
        <c:crosses val="autoZero"/>
        <c:auto val="1"/>
        <c:lblAlgn val="ctr"/>
        <c:lblOffset val="100"/>
        <c:noMultiLvlLbl val="0"/>
      </c:catAx>
      <c:valAx>
        <c:axId val="1144525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Volume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4549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Sums</a:t>
            </a:r>
            <a:r>
              <a:rPr lang="en-GB" baseline="0"/>
              <a:t> Claimed vs Sums Paid</a:t>
            </a:r>
            <a:endParaRPr lang="en-GB"/>
          </a:p>
        </c:rich>
      </c:tx>
      <c:layout>
        <c:manualLayout>
          <c:xMode val="edge"/>
          <c:yMode val="edge"/>
          <c:x val="0.30845632848331184"/>
          <c:y val="2.61437908496732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Average over financial years 16/17 to 19/20</c:v>
          </c:tx>
          <c:spPr>
            <a:solidFill>
              <a:srgbClr val="983222"/>
            </a:solidFill>
            <a:ln>
              <a:noFill/>
            </a:ln>
            <a:effectLst/>
          </c:spPr>
          <c:invertIfNegative val="0"/>
          <c:cat>
            <c:strRef>
              <c:f>Sheet2!$A$5:$A$6</c:f>
              <c:strCache>
                <c:ptCount val="2"/>
                <c:pt idx="0">
                  <c:v>Claimed Amount</c:v>
                </c:pt>
                <c:pt idx="1">
                  <c:v>Paid Amount</c:v>
                </c:pt>
              </c:strCache>
            </c:strRef>
          </c:cat>
          <c:val>
            <c:numRef>
              <c:f>Sheet2!$B$5:$B$6</c:f>
              <c:numCache>
                <c:formatCode>"£"#,##0_);[Red]\("£"#,##0\)</c:formatCode>
                <c:ptCount val="2"/>
                <c:pt idx="0">
                  <c:v>1101885</c:v>
                </c:pt>
                <c:pt idx="1">
                  <c:v>549000</c:v>
                </c:pt>
              </c:numCache>
            </c:numRef>
          </c:val>
          <c:extLst>
            <c:ext xmlns:c16="http://schemas.microsoft.com/office/drawing/2014/chart" uri="{C3380CC4-5D6E-409C-BE32-E72D297353CC}">
              <c16:uniqueId val="{00000000-6E8C-4EF1-87A7-8EC528399249}"/>
            </c:ext>
          </c:extLst>
        </c:ser>
        <c:ser>
          <c:idx val="1"/>
          <c:order val="1"/>
          <c:tx>
            <c:v>Financial year 20/21</c:v>
          </c:tx>
          <c:spPr>
            <a:solidFill>
              <a:srgbClr val="898F4B"/>
            </a:solidFill>
            <a:ln>
              <a:noFill/>
            </a:ln>
            <a:effectLst/>
          </c:spPr>
          <c:invertIfNegative val="0"/>
          <c:cat>
            <c:strRef>
              <c:f>Sheet2!$A$5:$A$6</c:f>
              <c:strCache>
                <c:ptCount val="2"/>
                <c:pt idx="0">
                  <c:v>Claimed Amount</c:v>
                </c:pt>
                <c:pt idx="1">
                  <c:v>Paid Amount</c:v>
                </c:pt>
              </c:strCache>
            </c:strRef>
          </c:cat>
          <c:val>
            <c:numRef>
              <c:f>Sheet2!$C$5:$C$6</c:f>
              <c:numCache>
                <c:formatCode>"£"#,##0_);[Red]\("£"#,##0\)</c:formatCode>
                <c:ptCount val="2"/>
                <c:pt idx="0">
                  <c:v>422564</c:v>
                </c:pt>
                <c:pt idx="1">
                  <c:v>259000</c:v>
                </c:pt>
              </c:numCache>
            </c:numRef>
          </c:val>
          <c:extLst>
            <c:ext xmlns:c16="http://schemas.microsoft.com/office/drawing/2014/chart" uri="{C3380CC4-5D6E-409C-BE32-E72D297353CC}">
              <c16:uniqueId val="{00000001-6E8C-4EF1-87A7-8EC528399249}"/>
            </c:ext>
          </c:extLst>
        </c:ser>
        <c:dLbls>
          <c:showLegendKey val="0"/>
          <c:showVal val="0"/>
          <c:showCatName val="0"/>
          <c:showSerName val="0"/>
          <c:showPercent val="0"/>
          <c:showBubbleSize val="0"/>
        </c:dLbls>
        <c:gapWidth val="219"/>
        <c:overlap val="-27"/>
        <c:axId val="935720128"/>
        <c:axId val="935720544"/>
      </c:barChart>
      <c:catAx>
        <c:axId val="93572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20544"/>
        <c:crosses val="autoZero"/>
        <c:auto val="1"/>
        <c:lblAlgn val="ctr"/>
        <c:lblOffset val="100"/>
        <c:noMultiLvlLbl val="0"/>
      </c:catAx>
      <c:valAx>
        <c:axId val="935720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Amount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2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Range</a:t>
            </a:r>
            <a:r>
              <a:rPr lang="en-GB" baseline="0"/>
              <a:t> of Payment Amounts Made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Average over financial years 16/17 to 19/20</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Sheet3!$A$4:$A$7</c:f>
              <c:strCache>
                <c:ptCount val="4"/>
                <c:pt idx="0">
                  <c:v>0-149</c:v>
                </c:pt>
                <c:pt idx="1">
                  <c:v>150-999</c:v>
                </c:pt>
                <c:pt idx="2">
                  <c:v>1000-9999</c:v>
                </c:pt>
                <c:pt idx="3">
                  <c:v>10000&gt;</c:v>
                </c:pt>
              </c:strCache>
            </c:strRef>
          </c:cat>
          <c:val>
            <c:numRef>
              <c:f>Sheet3!$B$4:$B$7</c:f>
              <c:numCache>
                <c:formatCode>General</c:formatCode>
                <c:ptCount val="4"/>
                <c:pt idx="0">
                  <c:v>346</c:v>
                </c:pt>
                <c:pt idx="1">
                  <c:v>81</c:v>
                </c:pt>
                <c:pt idx="2">
                  <c:v>45</c:v>
                </c:pt>
                <c:pt idx="3">
                  <c:v>14</c:v>
                </c:pt>
              </c:numCache>
            </c:numRef>
          </c:val>
          <c:extLst>
            <c:ext xmlns:c16="http://schemas.microsoft.com/office/drawing/2014/chart" uri="{C3380CC4-5D6E-409C-BE32-E72D297353CC}">
              <c16:uniqueId val="{00000000-DC9C-436F-8C61-8B19B795627B}"/>
            </c:ext>
          </c:extLst>
        </c:ser>
        <c:ser>
          <c:idx val="1"/>
          <c:order val="1"/>
          <c:tx>
            <c:v>Financial year 20/21</c:v>
          </c:tx>
          <c:spPr>
            <a:solidFill>
              <a:srgbClr val="E9004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Sheet3!$A$4:$A$7</c:f>
              <c:strCache>
                <c:ptCount val="4"/>
                <c:pt idx="0">
                  <c:v>0-149</c:v>
                </c:pt>
                <c:pt idx="1">
                  <c:v>150-999</c:v>
                </c:pt>
                <c:pt idx="2">
                  <c:v>1000-9999</c:v>
                </c:pt>
                <c:pt idx="3">
                  <c:v>10000&gt;</c:v>
                </c:pt>
              </c:strCache>
            </c:strRef>
          </c:cat>
          <c:val>
            <c:numRef>
              <c:f>Sheet3!$C$4:$C$7</c:f>
              <c:numCache>
                <c:formatCode>General</c:formatCode>
                <c:ptCount val="4"/>
                <c:pt idx="0">
                  <c:v>76</c:v>
                </c:pt>
                <c:pt idx="1">
                  <c:v>38</c:v>
                </c:pt>
                <c:pt idx="2">
                  <c:v>23</c:v>
                </c:pt>
                <c:pt idx="3">
                  <c:v>11</c:v>
                </c:pt>
              </c:numCache>
            </c:numRef>
          </c:val>
          <c:extLst>
            <c:ext xmlns:c16="http://schemas.microsoft.com/office/drawing/2014/chart" uri="{C3380CC4-5D6E-409C-BE32-E72D297353CC}">
              <c16:uniqueId val="{00000001-DC9C-436F-8C61-8B19B795627B}"/>
            </c:ext>
          </c:extLst>
        </c:ser>
        <c:dLbls>
          <c:showLegendKey val="0"/>
          <c:showVal val="0"/>
          <c:showCatName val="0"/>
          <c:showSerName val="0"/>
          <c:showPercent val="0"/>
          <c:showBubbleSize val="0"/>
        </c:dLbls>
        <c:gapWidth val="219"/>
        <c:overlap val="-27"/>
        <c:axId val="949512304"/>
        <c:axId val="949512720"/>
      </c:barChart>
      <c:catAx>
        <c:axId val="94951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9512720"/>
        <c:crosses val="autoZero"/>
        <c:auto val="1"/>
        <c:lblAlgn val="ctr"/>
        <c:lblOffset val="100"/>
        <c:noMultiLvlLbl val="0"/>
      </c:catAx>
      <c:valAx>
        <c:axId val="94951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Payments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951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Moscinski, Lucy</cp:lastModifiedBy>
  <cp:revision>6</cp:revision>
  <dcterms:created xsi:type="dcterms:W3CDTF">2021-12-03T10:23:00Z</dcterms:created>
  <dcterms:modified xsi:type="dcterms:W3CDTF">2022-03-17T12:27:00Z</dcterms:modified>
</cp:coreProperties>
</file>