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098E" w14:textId="735AAAF5" w:rsidR="00C62423" w:rsidRPr="00787250" w:rsidRDefault="00787250" w:rsidP="00BB712E">
      <w:pPr>
        <w:jc w:val="center"/>
        <w:rPr>
          <w:b/>
          <w:u w:val="single"/>
        </w:rPr>
      </w:pPr>
      <w:r w:rsidRPr="00787250">
        <w:rPr>
          <w:b/>
          <w:u w:val="single"/>
        </w:rPr>
        <w:t xml:space="preserve">ISLANDS COMMUNITIES IMPACT ASSESSMENT </w:t>
      </w:r>
    </w:p>
    <w:p w14:paraId="4BF871AA" w14:textId="77777777" w:rsidR="00C62423" w:rsidRDefault="00C62423" w:rsidP="00BB712E"/>
    <w:p w14:paraId="152D61E0" w14:textId="77777777" w:rsidR="001E0181" w:rsidRPr="00787250" w:rsidRDefault="001E0181" w:rsidP="00BB712E">
      <w:r>
        <w:t xml:space="preserve">Please ensure this template is completed in conjunction with the ICIA Guidance on the </w:t>
      </w:r>
      <w:hyperlink r:id="rId9" w:history="1">
        <w:r w:rsidRPr="001E0181">
          <w:rPr>
            <w:rStyle w:val="Hyperlink"/>
          </w:rPr>
          <w:t>Scot Gov Website</w:t>
        </w:r>
      </w:hyperlink>
    </w:p>
    <w:p w14:paraId="09107D0F" w14:textId="77777777" w:rsidR="00C62423" w:rsidRDefault="00C62423" w:rsidP="00BB712E"/>
    <w:p w14:paraId="589A6225" w14:textId="77777777" w:rsidR="002E3E0B" w:rsidRDefault="002E3E0B" w:rsidP="00BB712E">
      <w:r>
        <w:softHyphen/>
      </w:r>
    </w:p>
    <w:tbl>
      <w:tblPr>
        <w:tblStyle w:val="TableGrid"/>
        <w:tblW w:w="14029" w:type="dxa"/>
        <w:tblLook w:val="04A0" w:firstRow="1" w:lastRow="0" w:firstColumn="1" w:lastColumn="0" w:noHBand="0" w:noVBand="1"/>
      </w:tblPr>
      <w:tblGrid>
        <w:gridCol w:w="4673"/>
        <w:gridCol w:w="9356"/>
      </w:tblGrid>
      <w:tr w:rsidR="002E3E0B" w14:paraId="1B173010" w14:textId="77777777" w:rsidTr="002E3E0B">
        <w:tc>
          <w:tcPr>
            <w:tcW w:w="4673" w:type="dxa"/>
          </w:tcPr>
          <w:p w14:paraId="35B3FA09" w14:textId="77777777" w:rsidR="002E3E0B" w:rsidRDefault="002E3E0B" w:rsidP="00BB712E">
            <w:r>
              <w:t>Name of Policy, Strategy or Service</w:t>
            </w:r>
          </w:p>
        </w:tc>
        <w:tc>
          <w:tcPr>
            <w:tcW w:w="9356" w:type="dxa"/>
          </w:tcPr>
          <w:p w14:paraId="548C07E1" w14:textId="053C97C3" w:rsidR="002E3E0B" w:rsidRDefault="00681B36" w:rsidP="006A5F15">
            <w:r>
              <w:t xml:space="preserve">The </w:t>
            </w:r>
            <w:r w:rsidR="0068049D">
              <w:t>Registers of Scotland (Information and Access, etc.) Miscellaneous Amendment Order 2022</w:t>
            </w:r>
          </w:p>
        </w:tc>
      </w:tr>
    </w:tbl>
    <w:p w14:paraId="639B89D0" w14:textId="77777777" w:rsidR="002E3E0B" w:rsidRDefault="002E3E0B" w:rsidP="00BB712E"/>
    <w:p w14:paraId="6102CCA6" w14:textId="77777777" w:rsidR="002E3E0B" w:rsidRDefault="002E3E0B" w:rsidP="00BB712E"/>
    <w:p w14:paraId="4371DF36" w14:textId="77777777" w:rsidR="002E3E0B" w:rsidRPr="00787250" w:rsidRDefault="002E3E0B" w:rsidP="00BB712E"/>
    <w:p w14:paraId="028CEB78" w14:textId="77777777" w:rsidR="00C62423" w:rsidRPr="00787250" w:rsidRDefault="00C62423" w:rsidP="00787250">
      <w:pPr>
        <w:rPr>
          <w:b/>
          <w:u w:val="single"/>
        </w:rPr>
      </w:pPr>
      <w:r w:rsidRPr="00787250">
        <w:rPr>
          <w:b/>
          <w:u w:val="single"/>
        </w:rPr>
        <w:t>STEP ONE – DEVELOP A CLEAR UNDERSTANDING OF YOUR OBJECTIVES</w:t>
      </w:r>
    </w:p>
    <w:p w14:paraId="73320DB1" w14:textId="77777777" w:rsidR="00C62423" w:rsidRPr="00787250" w:rsidRDefault="00C62423" w:rsidP="00BB712E"/>
    <w:tbl>
      <w:tblPr>
        <w:tblStyle w:val="TableGrid"/>
        <w:tblW w:w="5000" w:type="pct"/>
        <w:tblLook w:val="04A0" w:firstRow="1" w:lastRow="0" w:firstColumn="1" w:lastColumn="0" w:noHBand="0" w:noVBand="1"/>
      </w:tblPr>
      <w:tblGrid>
        <w:gridCol w:w="4673"/>
        <w:gridCol w:w="9275"/>
      </w:tblGrid>
      <w:tr w:rsidR="00C62423" w:rsidRPr="00787250" w14:paraId="4512CDA2" w14:textId="77777777" w:rsidTr="001E0181">
        <w:tc>
          <w:tcPr>
            <w:tcW w:w="1675" w:type="pct"/>
          </w:tcPr>
          <w:p w14:paraId="62443ADC" w14:textId="77777777" w:rsidR="00787250" w:rsidRPr="00787250" w:rsidRDefault="00787250" w:rsidP="00787250">
            <w:pPr>
              <w:pStyle w:val="ListParagraph"/>
            </w:pPr>
          </w:p>
          <w:p w14:paraId="6E92E88E" w14:textId="77777777" w:rsidR="00BB712E" w:rsidRPr="00787250" w:rsidRDefault="00C62423" w:rsidP="00787250">
            <w:pPr>
              <w:pStyle w:val="ListParagraph"/>
              <w:numPr>
                <w:ilvl w:val="0"/>
                <w:numId w:val="11"/>
              </w:numPr>
            </w:pPr>
            <w:r w:rsidRPr="00787250">
              <w:t xml:space="preserve">What are the objectives of the policy, </w:t>
            </w:r>
            <w:proofErr w:type="gramStart"/>
            <w:r w:rsidRPr="00787250">
              <w:t>strategy</w:t>
            </w:r>
            <w:proofErr w:type="gramEnd"/>
            <w:r w:rsidRPr="00787250">
              <w:t xml:space="preserve"> or service</w:t>
            </w:r>
            <w:r w:rsidR="00787250" w:rsidRPr="00787250">
              <w:t>?</w:t>
            </w:r>
          </w:p>
          <w:p w14:paraId="14F0793D" w14:textId="77777777" w:rsidR="00787250" w:rsidRPr="00787250" w:rsidRDefault="00787250" w:rsidP="00BB712E"/>
          <w:p w14:paraId="6867D121" w14:textId="77777777" w:rsidR="00C62423" w:rsidRPr="00787250" w:rsidRDefault="00C62423" w:rsidP="00787250">
            <w:pPr>
              <w:pStyle w:val="ListParagraph"/>
              <w:numPr>
                <w:ilvl w:val="0"/>
                <w:numId w:val="11"/>
              </w:numPr>
            </w:pPr>
            <w:r w:rsidRPr="00787250">
              <w:t>What are the intended impacts / out</w:t>
            </w:r>
            <w:r w:rsidR="00787250" w:rsidRPr="00787250">
              <w:t>c</w:t>
            </w:r>
            <w:r w:rsidRPr="00787250">
              <w:t>omes and how do these potentially differ in the islands</w:t>
            </w:r>
            <w:r w:rsidR="00787250" w:rsidRPr="00787250">
              <w:t>?</w:t>
            </w:r>
          </w:p>
          <w:p w14:paraId="71CED320" w14:textId="77777777" w:rsidR="00C62423" w:rsidRPr="00787250" w:rsidRDefault="00C62423" w:rsidP="002E3E0B">
            <w:pPr>
              <w:pStyle w:val="ListParagraph"/>
            </w:pPr>
          </w:p>
        </w:tc>
        <w:tc>
          <w:tcPr>
            <w:tcW w:w="3325" w:type="pct"/>
          </w:tcPr>
          <w:p w14:paraId="2686614C" w14:textId="77777777" w:rsidR="004B655E" w:rsidRDefault="004B655E" w:rsidP="00BB712E">
            <w:pPr>
              <w:rPr>
                <w:rStyle w:val="normaltextrun"/>
                <w:color w:val="000000"/>
                <w:sz w:val="28"/>
                <w:szCs w:val="28"/>
                <w:bdr w:val="none" w:sz="0" w:space="0" w:color="auto" w:frame="1"/>
                <w:lang w:val="en-US"/>
              </w:rPr>
            </w:pPr>
          </w:p>
          <w:p w14:paraId="2022DC63" w14:textId="46B55C4F" w:rsidR="0068049D" w:rsidRDefault="0068049D" w:rsidP="0068049D">
            <w:r>
              <w:t>This Order compl</w:t>
            </w:r>
            <w:r w:rsidR="00EA27F2">
              <w:t>e</w:t>
            </w:r>
            <w:r>
              <w:t>ments the Registers of Scotland (Digital Registration</w:t>
            </w:r>
            <w:r w:rsidR="00681B36">
              <w:t>,</w:t>
            </w:r>
            <w:r>
              <w:t xml:space="preserve"> etc</w:t>
            </w:r>
            <w:r w:rsidR="00681B36">
              <w:t>.</w:t>
            </w:r>
            <w:r>
              <w:t xml:space="preserve">) Regulations 2022, which </w:t>
            </w:r>
            <w:r w:rsidR="00681B36">
              <w:t xml:space="preserve">will </w:t>
            </w:r>
            <w:proofErr w:type="gramStart"/>
            <w:r>
              <w:t>open up</w:t>
            </w:r>
            <w:proofErr w:type="gramEnd"/>
            <w:r>
              <w:t xml:space="preserve"> the Books of Council and Session (BCS) to electronic documents</w:t>
            </w:r>
            <w:r w:rsidR="00681B36">
              <w:t xml:space="preserve"> from 1</w:t>
            </w:r>
            <w:r w:rsidR="00681B36">
              <w:rPr>
                <w:vertAlign w:val="superscript"/>
              </w:rPr>
              <w:t>st</w:t>
            </w:r>
            <w:r w:rsidR="00681B36">
              <w:t xml:space="preserve"> October 2022. It</w:t>
            </w:r>
            <w:r>
              <w:t xml:space="preserve"> set</w:t>
            </w:r>
            <w:r w:rsidR="00681B36">
              <w:t>s</w:t>
            </w:r>
            <w:r>
              <w:t xml:space="preserve"> out the basis on which the Keeper must issue BCS extracts, and the default form these extracts should take. Where an electronic document is registered, the default form of extract issued will be an electronic document. Where a paper document is registered, the default form of extract will be a paper document. In both cases, paper/electronic extracts will also be available on request.</w:t>
            </w:r>
          </w:p>
          <w:p w14:paraId="746D7F54" w14:textId="77777777" w:rsidR="0068049D" w:rsidRDefault="0068049D" w:rsidP="0068049D"/>
          <w:p w14:paraId="27BAB0A7" w14:textId="77777777" w:rsidR="0068049D" w:rsidRDefault="0068049D" w:rsidP="0068049D">
            <w:r>
              <w:t>In addition, this Order also clarifies that extracts of deeds registered in the Register of Sasines can be issued as electronic documents where the applicant requests. This brings the Register of Sasines into line with the Land Register provision at section 104(7) of the Land Registration etc. (Scotland) Act 2012.</w:t>
            </w:r>
          </w:p>
          <w:p w14:paraId="4017C950" w14:textId="77777777" w:rsidR="0068049D" w:rsidRDefault="0068049D" w:rsidP="0068049D"/>
          <w:p w14:paraId="6B92E950" w14:textId="77777777" w:rsidR="0068049D" w:rsidRDefault="0068049D" w:rsidP="0068049D">
            <w:r>
              <w:t xml:space="preserve">Finally, this Order makes </w:t>
            </w:r>
            <w:proofErr w:type="gramStart"/>
            <w:r>
              <w:t>a number of</w:t>
            </w:r>
            <w:proofErr w:type="gramEnd"/>
            <w:r>
              <w:t xml:space="preserve"> clarificatory amendments to the Writs Execution (Scotland) Act 1877 to reflect that BCS and Register of Sasine extracts issued by Registers of Scotland, and BCS extracts issued by National Records of Scotland, can be issued in electronic form, and to remove reference to legislation which is no longer in force.</w:t>
            </w:r>
          </w:p>
          <w:p w14:paraId="4B8B203A" w14:textId="58C2D5D4" w:rsidR="00EC6FB6" w:rsidRDefault="000345FD" w:rsidP="009500B2">
            <w:pPr>
              <w:rPr>
                <w:rFonts w:eastAsia="Arial"/>
                <w:lang w:eastAsia="en-GB"/>
              </w:rPr>
            </w:pPr>
            <w:r>
              <w:rPr>
                <w:rFonts w:eastAsia="Arial"/>
                <w:lang w:eastAsia="en-GB"/>
              </w:rPr>
              <w:lastRenderedPageBreak/>
              <w:t xml:space="preserve">The </w:t>
            </w:r>
            <w:r w:rsidRPr="000345FD">
              <w:rPr>
                <w:rFonts w:eastAsia="Arial"/>
                <w:lang w:eastAsia="en-GB"/>
              </w:rPr>
              <w:t>Keeper of the Registers of Scotland</w:t>
            </w:r>
            <w:r>
              <w:rPr>
                <w:rFonts w:eastAsia="Arial"/>
                <w:lang w:eastAsia="en-GB"/>
              </w:rPr>
              <w:t xml:space="preserve"> is named as one of the relevant authorities subject to the duties at s</w:t>
            </w:r>
            <w:r w:rsidR="00681B36">
              <w:rPr>
                <w:rFonts w:eastAsia="Arial"/>
                <w:lang w:eastAsia="en-GB"/>
              </w:rPr>
              <w:t xml:space="preserve">. </w:t>
            </w:r>
            <w:r>
              <w:rPr>
                <w:rFonts w:eastAsia="Arial"/>
                <w:lang w:eastAsia="en-GB"/>
              </w:rPr>
              <w:t xml:space="preserve">7 of the </w:t>
            </w:r>
            <w:r w:rsidR="00F93479" w:rsidRPr="00F93479">
              <w:rPr>
                <w:rFonts w:eastAsia="Arial"/>
                <w:lang w:eastAsia="en-GB"/>
              </w:rPr>
              <w:t>Islands (Scotland) Act 2018</w:t>
            </w:r>
            <w:r w:rsidR="00F93479">
              <w:rPr>
                <w:rFonts w:eastAsia="Arial"/>
                <w:lang w:eastAsia="en-GB"/>
              </w:rPr>
              <w:t xml:space="preserve">. </w:t>
            </w:r>
          </w:p>
          <w:p w14:paraId="7C45DADD" w14:textId="77777777" w:rsidR="005E0F4E" w:rsidRDefault="005E0F4E" w:rsidP="009500B2">
            <w:pPr>
              <w:rPr>
                <w:rFonts w:eastAsia="Arial"/>
                <w:lang w:eastAsia="en-GB"/>
              </w:rPr>
            </w:pPr>
          </w:p>
          <w:p w14:paraId="1FC43430" w14:textId="2C2998A1" w:rsidR="00B4271F" w:rsidRPr="003B1648" w:rsidRDefault="0068049D" w:rsidP="003B1648">
            <w:pPr>
              <w:rPr>
                <w:rFonts w:eastAsia="Arial"/>
                <w:lang w:eastAsia="en-GB"/>
              </w:rPr>
            </w:pPr>
            <w:r>
              <w:rPr>
                <w:rFonts w:eastAsia="Arial"/>
                <w:lang w:eastAsia="en-GB"/>
              </w:rPr>
              <w:t>As the Order simply sets out the default form of extract to be issued, as opposed to mandating the use of digital or paper extracts, no impact on any customer group is foreseen. Customers will be free to choose the form of extract they receive. The provision of digital extracts is likely to be popular with islands customers, including the conveyancing provision, as the reliance on a postal service is removed from the request process, enabling RoS to provide a faster, more reliable service.</w:t>
            </w:r>
          </w:p>
        </w:tc>
      </w:tr>
    </w:tbl>
    <w:p w14:paraId="7D67A287" w14:textId="77777777" w:rsidR="00C62423" w:rsidRPr="00787250" w:rsidRDefault="00C62423" w:rsidP="00BB712E"/>
    <w:p w14:paraId="0BD31DB7" w14:textId="77777777" w:rsidR="00C62423" w:rsidRPr="00787250" w:rsidRDefault="00C62423" w:rsidP="00BB712E"/>
    <w:p w14:paraId="3D27B4F2" w14:textId="77777777" w:rsidR="00C62423" w:rsidRPr="00787250" w:rsidRDefault="00787250" w:rsidP="00BB712E">
      <w:pPr>
        <w:rPr>
          <w:b/>
          <w:u w:val="single"/>
        </w:rPr>
      </w:pPr>
      <w:r w:rsidRPr="00787250">
        <w:rPr>
          <w:b/>
          <w:u w:val="single"/>
        </w:rPr>
        <w:br w:type="page"/>
      </w:r>
      <w:r w:rsidR="00C62423" w:rsidRPr="00787250">
        <w:rPr>
          <w:b/>
          <w:u w:val="single"/>
        </w:rPr>
        <w:lastRenderedPageBreak/>
        <w:t>STEP TWO – GATHER YOUR DATA AND IDENTIFY YOUR STAKEHOLDERS</w:t>
      </w:r>
    </w:p>
    <w:p w14:paraId="37557BFC" w14:textId="77777777" w:rsidR="00C62423" w:rsidRPr="00787250" w:rsidRDefault="00C62423" w:rsidP="00BB712E"/>
    <w:p w14:paraId="658244BE" w14:textId="77777777" w:rsidR="00C62423" w:rsidRPr="00787250" w:rsidRDefault="00C62423" w:rsidP="00BB712E"/>
    <w:tbl>
      <w:tblPr>
        <w:tblStyle w:val="TableGrid"/>
        <w:tblW w:w="5000" w:type="pct"/>
        <w:tblLook w:val="04A0" w:firstRow="1" w:lastRow="0" w:firstColumn="1" w:lastColumn="0" w:noHBand="0" w:noVBand="1"/>
      </w:tblPr>
      <w:tblGrid>
        <w:gridCol w:w="4673"/>
        <w:gridCol w:w="9275"/>
      </w:tblGrid>
      <w:tr w:rsidR="00C62423" w:rsidRPr="00787250" w14:paraId="546274D2" w14:textId="77777777" w:rsidTr="001E0181">
        <w:tc>
          <w:tcPr>
            <w:tcW w:w="1675" w:type="pct"/>
          </w:tcPr>
          <w:p w14:paraId="519410D4" w14:textId="77777777" w:rsidR="00C62423" w:rsidRPr="00787250" w:rsidRDefault="00C62423" w:rsidP="00BB712E">
            <w:pPr>
              <w:rPr>
                <w:rFonts w:eastAsia="Calibri"/>
                <w:w w:val="121"/>
              </w:rPr>
            </w:pPr>
          </w:p>
          <w:p w14:paraId="38566CC2" w14:textId="77777777" w:rsidR="00C62423" w:rsidRPr="00787250" w:rsidRDefault="00C62423" w:rsidP="001E0181">
            <w:pPr>
              <w:pStyle w:val="ListParagraph"/>
              <w:numPr>
                <w:ilvl w:val="0"/>
                <w:numId w:val="12"/>
              </w:numPr>
              <w:rPr>
                <w:color w:val="auto"/>
              </w:rPr>
            </w:pPr>
            <w:r w:rsidRPr="00787250">
              <w:rPr>
                <w:rFonts w:eastAsia="Calibri"/>
              </w:rPr>
              <w:t>What</w:t>
            </w:r>
            <w:r w:rsidRPr="00787250">
              <w:rPr>
                <w:rFonts w:eastAsia="Calibri"/>
                <w:spacing w:val="16"/>
              </w:rPr>
              <w:t xml:space="preserve"> </w:t>
            </w:r>
            <w:r w:rsidRPr="00787250">
              <w:rPr>
                <w:rFonts w:eastAsia="Calibri"/>
              </w:rPr>
              <w:t>data</w:t>
            </w:r>
            <w:r w:rsidRPr="00787250">
              <w:rPr>
                <w:rFonts w:eastAsia="Calibri"/>
                <w:spacing w:val="16"/>
              </w:rPr>
              <w:t xml:space="preserve"> </w:t>
            </w:r>
            <w:r w:rsidRPr="00787250">
              <w:rPr>
                <w:rFonts w:eastAsia="Calibri"/>
              </w:rPr>
              <w:t>is</w:t>
            </w:r>
            <w:r w:rsidRPr="00787250">
              <w:rPr>
                <w:rFonts w:eastAsia="Calibri"/>
                <w:spacing w:val="16"/>
              </w:rPr>
              <w:t xml:space="preserve"> </w:t>
            </w:r>
            <w:r w:rsidRPr="00787250">
              <w:rPr>
                <w:rFonts w:eastAsia="Calibri"/>
              </w:rPr>
              <w:t>available</w:t>
            </w:r>
            <w:r w:rsidRPr="00787250">
              <w:rPr>
                <w:rFonts w:eastAsia="Calibri"/>
                <w:spacing w:val="16"/>
              </w:rPr>
              <w:t xml:space="preserve"> </w:t>
            </w:r>
            <w:r w:rsidRPr="00787250">
              <w:rPr>
                <w:rFonts w:eastAsia="Calibri"/>
              </w:rPr>
              <w:t>about</w:t>
            </w:r>
            <w:r w:rsidRPr="00787250">
              <w:rPr>
                <w:rFonts w:eastAsia="Calibri"/>
                <w:spacing w:val="16"/>
              </w:rPr>
              <w:t xml:space="preserve"> </w:t>
            </w:r>
            <w:r w:rsidRPr="00787250">
              <w:rPr>
                <w:rFonts w:eastAsia="Calibri"/>
              </w:rPr>
              <w:t>the</w:t>
            </w:r>
            <w:r w:rsidRPr="00787250">
              <w:rPr>
                <w:rFonts w:eastAsia="Calibri"/>
                <w:spacing w:val="16"/>
              </w:rPr>
              <w:t xml:space="preserve"> </w:t>
            </w:r>
            <w:r w:rsidRPr="00787250">
              <w:rPr>
                <w:rFonts w:eastAsia="Calibri"/>
              </w:rPr>
              <w:t>current</w:t>
            </w:r>
            <w:r w:rsidRPr="00787250">
              <w:rPr>
                <w:rFonts w:eastAsia="Calibri"/>
                <w:spacing w:val="16"/>
              </w:rPr>
              <w:t xml:space="preserve"> </w:t>
            </w:r>
            <w:r w:rsidRPr="00787250">
              <w:rPr>
                <w:rFonts w:eastAsia="Calibri"/>
              </w:rPr>
              <w:t>situation</w:t>
            </w:r>
            <w:r w:rsidRPr="00787250">
              <w:rPr>
                <w:rFonts w:eastAsia="Calibri"/>
                <w:spacing w:val="16"/>
              </w:rPr>
              <w:t xml:space="preserve"> </w:t>
            </w:r>
            <w:r w:rsidRPr="00787250">
              <w:rPr>
                <w:rFonts w:eastAsia="Calibri"/>
              </w:rPr>
              <w:t>in</w:t>
            </w:r>
            <w:r w:rsidRPr="00787250">
              <w:rPr>
                <w:rFonts w:eastAsia="Calibri"/>
                <w:spacing w:val="16"/>
              </w:rPr>
              <w:t xml:space="preserve"> </w:t>
            </w:r>
            <w:r w:rsidRPr="00787250">
              <w:rPr>
                <w:rFonts w:eastAsia="Calibri"/>
              </w:rPr>
              <w:t>the</w:t>
            </w:r>
            <w:r w:rsidRPr="00787250">
              <w:rPr>
                <w:rFonts w:eastAsia="Calibri"/>
                <w:spacing w:val="16"/>
              </w:rPr>
              <w:t xml:space="preserve"> </w:t>
            </w:r>
            <w:r w:rsidRPr="00787250">
              <w:rPr>
                <w:rFonts w:eastAsia="Calibri"/>
              </w:rPr>
              <w:t>islands?</w:t>
            </w:r>
          </w:p>
          <w:p w14:paraId="66971CD9" w14:textId="77777777" w:rsidR="00787250" w:rsidRPr="00787250" w:rsidRDefault="00787250" w:rsidP="00787250">
            <w:pPr>
              <w:pStyle w:val="ListParagraph"/>
            </w:pPr>
          </w:p>
          <w:p w14:paraId="4E3AB0E2" w14:textId="77777777" w:rsidR="00C62423" w:rsidRPr="00787250" w:rsidRDefault="002E3E0B" w:rsidP="001E0181">
            <w:pPr>
              <w:pStyle w:val="ListParagraph"/>
              <w:numPr>
                <w:ilvl w:val="0"/>
                <w:numId w:val="12"/>
              </w:numPr>
            </w:pPr>
            <w:r>
              <w:rPr>
                <w:rFonts w:eastAsia="Calibri"/>
              </w:rPr>
              <w:t xml:space="preserve">Who are your Key Stakeholders? </w:t>
            </w:r>
          </w:p>
          <w:p w14:paraId="3CA0B833" w14:textId="77777777" w:rsidR="00787250" w:rsidRPr="00787250" w:rsidRDefault="00787250" w:rsidP="00787250">
            <w:pPr>
              <w:pStyle w:val="ListParagraph"/>
              <w:rPr>
                <w:color w:val="auto"/>
              </w:rPr>
            </w:pPr>
          </w:p>
          <w:p w14:paraId="7CC75E28" w14:textId="77777777" w:rsidR="00C62423" w:rsidRPr="00787250" w:rsidRDefault="00C62423" w:rsidP="001E0181">
            <w:pPr>
              <w:pStyle w:val="ListParagraph"/>
              <w:numPr>
                <w:ilvl w:val="0"/>
                <w:numId w:val="12"/>
              </w:numPr>
            </w:pPr>
            <w:r w:rsidRPr="00787250">
              <w:rPr>
                <w:rFonts w:eastAsia="Calibri"/>
              </w:rPr>
              <w:t>How</w:t>
            </w:r>
            <w:r w:rsidRPr="00787250">
              <w:rPr>
                <w:rFonts w:eastAsia="Calibri"/>
                <w:spacing w:val="16"/>
              </w:rPr>
              <w:t xml:space="preserve"> </w:t>
            </w:r>
            <w:r w:rsidRPr="00787250">
              <w:rPr>
                <w:rFonts w:eastAsia="Calibri"/>
              </w:rPr>
              <w:t>does</w:t>
            </w:r>
            <w:r w:rsidRPr="00787250">
              <w:rPr>
                <w:rFonts w:eastAsia="Calibri"/>
                <w:spacing w:val="16"/>
              </w:rPr>
              <w:t xml:space="preserve"> </w:t>
            </w:r>
            <w:r w:rsidRPr="00787250">
              <w:rPr>
                <w:rFonts w:eastAsia="Calibri"/>
              </w:rPr>
              <w:t>any</w:t>
            </w:r>
            <w:r w:rsidRPr="00787250">
              <w:rPr>
                <w:rFonts w:eastAsia="Calibri"/>
                <w:spacing w:val="16"/>
              </w:rPr>
              <w:t xml:space="preserve"> </w:t>
            </w:r>
            <w:r w:rsidRPr="00787250">
              <w:rPr>
                <w:rFonts w:eastAsia="Calibri"/>
              </w:rPr>
              <w:t>existing</w:t>
            </w:r>
            <w:r w:rsidRPr="00787250">
              <w:rPr>
                <w:rFonts w:eastAsia="Calibri"/>
                <w:spacing w:val="16"/>
              </w:rPr>
              <w:t xml:space="preserve"> </w:t>
            </w:r>
            <w:r w:rsidRPr="00787250">
              <w:rPr>
                <w:rFonts w:eastAsia="Calibri"/>
              </w:rPr>
              <w:t>data</w:t>
            </w:r>
            <w:r w:rsidRPr="00787250">
              <w:rPr>
                <w:rFonts w:eastAsia="Calibri"/>
                <w:spacing w:val="16"/>
              </w:rPr>
              <w:t xml:space="preserve"> </w:t>
            </w:r>
            <w:r w:rsidRPr="00787250">
              <w:rPr>
                <w:rFonts w:eastAsia="Calibri"/>
              </w:rPr>
              <w:t>differ</w:t>
            </w:r>
            <w:r w:rsidRPr="00787250">
              <w:rPr>
                <w:rFonts w:eastAsia="Calibri"/>
                <w:spacing w:val="16"/>
              </w:rPr>
              <w:t xml:space="preserve"> </w:t>
            </w:r>
            <w:r w:rsidRPr="00787250">
              <w:rPr>
                <w:rFonts w:eastAsia="Calibri"/>
              </w:rPr>
              <w:t>between</w:t>
            </w:r>
            <w:r w:rsidRPr="00787250">
              <w:rPr>
                <w:rFonts w:eastAsia="Calibri"/>
                <w:spacing w:val="16"/>
              </w:rPr>
              <w:t xml:space="preserve"> </w:t>
            </w:r>
            <w:r w:rsidRPr="00787250">
              <w:rPr>
                <w:rFonts w:eastAsia="Calibri"/>
              </w:rPr>
              <w:t>islands?</w:t>
            </w:r>
          </w:p>
          <w:p w14:paraId="07741860" w14:textId="77777777" w:rsidR="00787250" w:rsidRPr="00787250" w:rsidRDefault="00787250" w:rsidP="00787250">
            <w:pPr>
              <w:pStyle w:val="ListParagraph"/>
            </w:pPr>
          </w:p>
          <w:p w14:paraId="0BD7C776" w14:textId="77777777" w:rsidR="00C62423" w:rsidRPr="001E0181" w:rsidRDefault="00C62423" w:rsidP="001E0181">
            <w:pPr>
              <w:pStyle w:val="ListParagraph"/>
              <w:numPr>
                <w:ilvl w:val="0"/>
                <w:numId w:val="12"/>
              </w:numPr>
            </w:pPr>
            <w:r w:rsidRPr="00787250">
              <w:rPr>
                <w:rFonts w:eastAsia="Calibri"/>
              </w:rPr>
              <w:t>Are</w:t>
            </w:r>
            <w:r w:rsidRPr="00787250">
              <w:rPr>
                <w:rFonts w:eastAsia="Calibri"/>
                <w:spacing w:val="16"/>
              </w:rPr>
              <w:t xml:space="preserve"> </w:t>
            </w:r>
            <w:r w:rsidRPr="00787250">
              <w:rPr>
                <w:rFonts w:eastAsia="Calibri"/>
              </w:rPr>
              <w:t>there</w:t>
            </w:r>
            <w:r w:rsidRPr="00787250">
              <w:rPr>
                <w:rFonts w:eastAsia="Calibri"/>
                <w:spacing w:val="16"/>
              </w:rPr>
              <w:t xml:space="preserve"> </w:t>
            </w:r>
            <w:r w:rsidRPr="00787250">
              <w:rPr>
                <w:rFonts w:eastAsia="Calibri"/>
              </w:rPr>
              <w:t>any</w:t>
            </w:r>
            <w:r w:rsidRPr="00787250">
              <w:rPr>
                <w:rFonts w:eastAsia="Calibri"/>
                <w:spacing w:val="16"/>
              </w:rPr>
              <w:t xml:space="preserve"> </w:t>
            </w:r>
            <w:r w:rsidRPr="00787250">
              <w:rPr>
                <w:rFonts w:eastAsia="Calibri"/>
              </w:rPr>
              <w:t>existing</w:t>
            </w:r>
            <w:r w:rsidRPr="00787250">
              <w:rPr>
                <w:rFonts w:eastAsia="Calibri"/>
                <w:spacing w:val="16"/>
              </w:rPr>
              <w:t xml:space="preserve"> </w:t>
            </w:r>
            <w:r w:rsidRPr="00787250">
              <w:rPr>
                <w:rFonts w:eastAsia="Calibri"/>
              </w:rPr>
              <w:t>design</w:t>
            </w:r>
            <w:r w:rsidRPr="00787250">
              <w:rPr>
                <w:rFonts w:eastAsia="Calibri"/>
                <w:spacing w:val="16"/>
              </w:rPr>
              <w:t xml:space="preserve"> </w:t>
            </w:r>
            <w:r w:rsidRPr="00787250">
              <w:rPr>
                <w:rFonts w:eastAsia="Calibri"/>
              </w:rPr>
              <w:t>features</w:t>
            </w:r>
            <w:r w:rsidRPr="00787250">
              <w:rPr>
                <w:rFonts w:eastAsia="Calibri"/>
                <w:spacing w:val="16"/>
              </w:rPr>
              <w:t xml:space="preserve"> </w:t>
            </w:r>
            <w:r w:rsidRPr="00787250">
              <w:rPr>
                <w:rFonts w:eastAsia="Calibri"/>
              </w:rPr>
              <w:t>or</w:t>
            </w:r>
            <w:r w:rsidRPr="00787250">
              <w:rPr>
                <w:rFonts w:eastAsia="Calibri"/>
                <w:spacing w:val="16"/>
              </w:rPr>
              <w:t xml:space="preserve"> </w:t>
            </w:r>
            <w:r w:rsidRPr="00787250">
              <w:rPr>
                <w:rFonts w:eastAsia="Calibri"/>
              </w:rPr>
              <w:t>mitigations</w:t>
            </w:r>
            <w:r w:rsidRPr="00787250">
              <w:rPr>
                <w:rFonts w:eastAsia="Calibri"/>
                <w:spacing w:val="16"/>
              </w:rPr>
              <w:t xml:space="preserve"> </w:t>
            </w:r>
            <w:r w:rsidRPr="00787250">
              <w:rPr>
                <w:rFonts w:eastAsia="Calibri"/>
              </w:rPr>
              <w:t>in</w:t>
            </w:r>
            <w:r w:rsidRPr="00787250">
              <w:rPr>
                <w:rFonts w:eastAsia="Calibri"/>
                <w:spacing w:val="16"/>
              </w:rPr>
              <w:t xml:space="preserve"> </w:t>
            </w:r>
            <w:r w:rsidRPr="00787250">
              <w:rPr>
                <w:rFonts w:eastAsia="Calibri"/>
              </w:rPr>
              <w:t>place?</w:t>
            </w:r>
          </w:p>
          <w:p w14:paraId="700BB043" w14:textId="77777777" w:rsidR="001E0181" w:rsidRPr="00787250" w:rsidRDefault="001E0181" w:rsidP="001E0181"/>
          <w:p w14:paraId="0B75F59A" w14:textId="77777777" w:rsidR="00C62423" w:rsidRPr="00787250" w:rsidRDefault="00C62423" w:rsidP="00BB712E"/>
        </w:tc>
        <w:tc>
          <w:tcPr>
            <w:tcW w:w="3325" w:type="pct"/>
          </w:tcPr>
          <w:p w14:paraId="475BC0C7" w14:textId="77777777" w:rsidR="00C62423" w:rsidRDefault="00C62423" w:rsidP="00BB712E"/>
          <w:p w14:paraId="5258FA4C" w14:textId="789D9063" w:rsidR="004B655E" w:rsidRDefault="003B1648" w:rsidP="001E0181">
            <w:pPr>
              <w:pStyle w:val="Heading1"/>
              <w:numPr>
                <w:ilvl w:val="0"/>
                <w:numId w:val="0"/>
              </w:numPr>
            </w:pPr>
            <w:r w:rsidRPr="003B1648">
              <w:t xml:space="preserve">The requirement to </w:t>
            </w:r>
            <w:r w:rsidR="00C86831">
              <w:t>request extracts of documents registered in the Books of Council and Session or Register of Sasines</w:t>
            </w:r>
            <w:r w:rsidRPr="003B1648">
              <w:t xml:space="preserve"> is the same for those who </w:t>
            </w:r>
            <w:proofErr w:type="gramStart"/>
            <w:r w:rsidRPr="003B1648">
              <w:t>either reside</w:t>
            </w:r>
            <w:proofErr w:type="gramEnd"/>
            <w:r w:rsidRPr="003B1648">
              <w:t xml:space="preserve"> on the Scottish mainland as it is for those who </w:t>
            </w:r>
            <w:r w:rsidR="00C86831">
              <w:t>reside</w:t>
            </w:r>
            <w:r w:rsidRPr="003B1648">
              <w:t xml:space="preserve"> on the Islands.  </w:t>
            </w:r>
            <w:r w:rsidR="00C14030">
              <w:t>Having publicly consulted on these proposals, w</w:t>
            </w:r>
            <w:r w:rsidRPr="003B1648">
              <w:t>e are not in possession of any such data that indicates that those living in Island communities are adversely affected by the proposals</w:t>
            </w:r>
            <w:r w:rsidR="00C14030">
              <w:t>.</w:t>
            </w:r>
          </w:p>
          <w:p w14:paraId="6C1A8CEB" w14:textId="77777777" w:rsidR="00C14030" w:rsidRDefault="00C14030" w:rsidP="00C14030"/>
          <w:p w14:paraId="5CE539D5" w14:textId="7649CC9F" w:rsidR="00C14030" w:rsidRDefault="00C14030" w:rsidP="00C14030">
            <w:r>
              <w:t xml:space="preserve">Our key stakeholders </w:t>
            </w:r>
            <w:r w:rsidR="00155611">
              <w:t>comprise</w:t>
            </w:r>
            <w:r>
              <w:t xml:space="preserve"> members of the conveyancing profession, including solicitors and institutional lenders.</w:t>
            </w:r>
          </w:p>
          <w:p w14:paraId="5174AA37" w14:textId="77777777" w:rsidR="00C14030" w:rsidRDefault="00C14030" w:rsidP="00C14030"/>
          <w:p w14:paraId="7C7C0D15" w14:textId="27C1EB3C" w:rsidR="00C14030" w:rsidRDefault="00C14030" w:rsidP="00C14030">
            <w:r w:rsidRPr="00C14030">
              <w:t xml:space="preserve">No evidence has been presented as part of the consultation </w:t>
            </w:r>
            <w:r w:rsidR="00452920">
              <w:t>to</w:t>
            </w:r>
            <w:r w:rsidRPr="00C14030">
              <w:t xml:space="preserve"> indicate </w:t>
            </w:r>
            <w:r w:rsidR="00452920">
              <w:t>differing</w:t>
            </w:r>
            <w:r w:rsidRPr="00C14030">
              <w:t xml:space="preserve"> island circumstances </w:t>
            </w:r>
            <w:r w:rsidR="00452920">
              <w:t xml:space="preserve">that </w:t>
            </w:r>
            <w:r w:rsidRPr="00C14030">
              <w:t xml:space="preserve">required to be </w:t>
            </w:r>
            <w:proofErr w:type="gramStart"/>
            <w:r w:rsidRPr="00C14030">
              <w:t>taken into account</w:t>
            </w:r>
            <w:proofErr w:type="gramEnd"/>
            <w:r w:rsidR="00452920">
              <w:t>.</w:t>
            </w:r>
          </w:p>
          <w:p w14:paraId="584E682B" w14:textId="77777777" w:rsidR="00452920" w:rsidRDefault="00452920" w:rsidP="00C14030"/>
          <w:p w14:paraId="25FF7619" w14:textId="73E7EC30" w:rsidR="00452920" w:rsidRPr="00C14030" w:rsidRDefault="00452920" w:rsidP="002E4F61">
            <w:r w:rsidRPr="00452920">
              <w:t xml:space="preserve">None required.  No evidence has been presented as part of the consultation that indicate any island circumstances that required to be </w:t>
            </w:r>
            <w:proofErr w:type="gramStart"/>
            <w:r w:rsidRPr="00452920">
              <w:t>taken into account</w:t>
            </w:r>
            <w:proofErr w:type="gramEnd"/>
            <w:r w:rsidRPr="00452920">
              <w:t>.</w:t>
            </w:r>
            <w:r>
              <w:t xml:space="preserve"> </w:t>
            </w:r>
            <w:r w:rsidR="00C86831">
              <w:t>The Order does not mandate a particular form of extract to be issued – parties are free to request whichever form of extract they wish.</w:t>
            </w:r>
          </w:p>
        </w:tc>
      </w:tr>
    </w:tbl>
    <w:p w14:paraId="60289107" w14:textId="77777777" w:rsidR="00BB712E" w:rsidRPr="00787250" w:rsidRDefault="00BB712E" w:rsidP="00BB712E">
      <w:pPr>
        <w:rPr>
          <w:b/>
          <w:u w:val="single"/>
        </w:rPr>
      </w:pPr>
    </w:p>
    <w:p w14:paraId="0F50933C" w14:textId="77777777" w:rsidR="00BB712E" w:rsidRPr="00787250" w:rsidRDefault="00BB712E" w:rsidP="00BB712E">
      <w:pPr>
        <w:rPr>
          <w:b/>
          <w:u w:val="single"/>
        </w:rPr>
      </w:pPr>
    </w:p>
    <w:p w14:paraId="212D2889" w14:textId="77777777" w:rsidR="00787250" w:rsidRPr="00787250" w:rsidRDefault="00787250">
      <w:pPr>
        <w:rPr>
          <w:b/>
          <w:u w:val="single"/>
        </w:rPr>
      </w:pPr>
      <w:r w:rsidRPr="00787250">
        <w:rPr>
          <w:b/>
          <w:u w:val="single"/>
        </w:rPr>
        <w:br w:type="page"/>
      </w:r>
    </w:p>
    <w:p w14:paraId="5C78CB09" w14:textId="77777777" w:rsidR="00C62423" w:rsidRPr="00787250" w:rsidRDefault="00C62423" w:rsidP="00BB712E">
      <w:pPr>
        <w:rPr>
          <w:b/>
          <w:u w:val="single"/>
        </w:rPr>
      </w:pPr>
      <w:r w:rsidRPr="00787250">
        <w:rPr>
          <w:b/>
          <w:u w:val="single"/>
        </w:rPr>
        <w:lastRenderedPageBreak/>
        <w:t>STEP THREE - CONSULTATION</w:t>
      </w:r>
    </w:p>
    <w:p w14:paraId="21120C1C" w14:textId="77777777" w:rsidR="00C62423" w:rsidRPr="00787250" w:rsidRDefault="00C62423" w:rsidP="00BB712E"/>
    <w:tbl>
      <w:tblPr>
        <w:tblStyle w:val="TableGrid"/>
        <w:tblW w:w="5000" w:type="pct"/>
        <w:tblLook w:val="04A0" w:firstRow="1" w:lastRow="0" w:firstColumn="1" w:lastColumn="0" w:noHBand="0" w:noVBand="1"/>
      </w:tblPr>
      <w:tblGrid>
        <w:gridCol w:w="4673"/>
        <w:gridCol w:w="9275"/>
      </w:tblGrid>
      <w:tr w:rsidR="00C62423" w:rsidRPr="00787250" w14:paraId="5CB7FE5C" w14:textId="77777777" w:rsidTr="001E0181">
        <w:tc>
          <w:tcPr>
            <w:tcW w:w="1675" w:type="pct"/>
          </w:tcPr>
          <w:p w14:paraId="4C6760F8" w14:textId="77777777" w:rsidR="00787250" w:rsidRPr="00787250" w:rsidRDefault="00787250" w:rsidP="00BB712E">
            <w:pPr>
              <w:rPr>
                <w:rFonts w:eastAsia="Calibri"/>
                <w:w w:val="121"/>
              </w:rPr>
            </w:pPr>
          </w:p>
          <w:p w14:paraId="34FFD8EB" w14:textId="77777777" w:rsidR="002E3E0B" w:rsidRDefault="002E3E0B" w:rsidP="002E3E0B">
            <w:pPr>
              <w:pStyle w:val="ListParagraph"/>
              <w:numPr>
                <w:ilvl w:val="0"/>
                <w:numId w:val="13"/>
              </w:numPr>
              <w:rPr>
                <w:rFonts w:eastAsia="Calibri"/>
              </w:rPr>
            </w:pPr>
            <w:r>
              <w:rPr>
                <w:rFonts w:eastAsia="Calibri"/>
              </w:rPr>
              <w:t xml:space="preserve">Is there are </w:t>
            </w:r>
            <w:r w:rsidRPr="00787250">
              <w:rPr>
                <w:rFonts w:eastAsia="Calibri"/>
              </w:rPr>
              <w:t xml:space="preserve">information </w:t>
            </w:r>
            <w:r>
              <w:rPr>
                <w:rFonts w:eastAsia="Calibri"/>
              </w:rPr>
              <w:t xml:space="preserve">already </w:t>
            </w:r>
            <w:r w:rsidRPr="00787250">
              <w:rPr>
                <w:rFonts w:eastAsia="Calibri"/>
              </w:rPr>
              <w:t xml:space="preserve">gathered through </w:t>
            </w:r>
            <w:r>
              <w:rPr>
                <w:rFonts w:eastAsia="Calibri"/>
              </w:rPr>
              <w:t>previous engagements?</w:t>
            </w:r>
            <w:r w:rsidRPr="00787250">
              <w:rPr>
                <w:rFonts w:eastAsia="Calibri"/>
              </w:rPr>
              <w:t xml:space="preserve"> </w:t>
            </w:r>
          </w:p>
          <w:p w14:paraId="56318C82" w14:textId="77777777" w:rsidR="002E3E0B" w:rsidRPr="00787250" w:rsidRDefault="002E3E0B" w:rsidP="002E3E0B">
            <w:pPr>
              <w:pStyle w:val="ListParagraph"/>
              <w:rPr>
                <w:rFonts w:eastAsia="Calibri"/>
              </w:rPr>
            </w:pPr>
          </w:p>
          <w:p w14:paraId="45E82899" w14:textId="77777777" w:rsidR="00C62423" w:rsidRPr="002E3E0B" w:rsidRDefault="00C62423" w:rsidP="00787250">
            <w:pPr>
              <w:pStyle w:val="ListParagraph"/>
              <w:numPr>
                <w:ilvl w:val="0"/>
                <w:numId w:val="13"/>
              </w:numPr>
              <w:rPr>
                <w:color w:val="auto"/>
              </w:rPr>
            </w:pPr>
            <w:r w:rsidRPr="00787250">
              <w:rPr>
                <w:rFonts w:eastAsia="Calibri"/>
              </w:rPr>
              <w:t>How will you carry out your consultation and in what timescales?</w:t>
            </w:r>
            <w:r w:rsidR="002E3E0B">
              <w:rPr>
                <w:rFonts w:eastAsia="Calibri"/>
              </w:rPr>
              <w:t xml:space="preserve"> Public meetings/ Local Authorities / Key Stakeholders</w:t>
            </w:r>
          </w:p>
          <w:p w14:paraId="766A5975" w14:textId="77777777" w:rsidR="00787250" w:rsidRPr="00787250" w:rsidRDefault="00787250" w:rsidP="00787250">
            <w:pPr>
              <w:pStyle w:val="ListParagraph"/>
            </w:pPr>
          </w:p>
          <w:p w14:paraId="68F6E293" w14:textId="77777777" w:rsidR="00C62423" w:rsidRDefault="00C62423" w:rsidP="00787250">
            <w:pPr>
              <w:pStyle w:val="ListParagraph"/>
              <w:numPr>
                <w:ilvl w:val="0"/>
                <w:numId w:val="13"/>
              </w:numPr>
              <w:rPr>
                <w:rFonts w:eastAsia="Calibri"/>
              </w:rPr>
            </w:pPr>
            <w:r w:rsidRPr="00787250">
              <w:rPr>
                <w:rFonts w:eastAsia="Calibri"/>
              </w:rPr>
              <w:t xml:space="preserve">What questions will you ask when considering how to address island </w:t>
            </w:r>
            <w:r w:rsidR="00787250" w:rsidRPr="00787250">
              <w:rPr>
                <w:rFonts w:eastAsia="Calibri"/>
              </w:rPr>
              <w:t>realities?</w:t>
            </w:r>
          </w:p>
          <w:p w14:paraId="625F1205" w14:textId="77777777" w:rsidR="002E3E0B" w:rsidRDefault="002E3E0B" w:rsidP="002E3E0B">
            <w:pPr>
              <w:pStyle w:val="ListParagraph"/>
              <w:rPr>
                <w:rFonts w:eastAsia="Calibri"/>
              </w:rPr>
            </w:pPr>
          </w:p>
          <w:p w14:paraId="744323E1" w14:textId="77777777" w:rsidR="002E3E0B" w:rsidRPr="00787250" w:rsidRDefault="002E3E0B" w:rsidP="00787250">
            <w:pPr>
              <w:pStyle w:val="ListParagraph"/>
              <w:numPr>
                <w:ilvl w:val="0"/>
                <w:numId w:val="13"/>
              </w:numPr>
              <w:rPr>
                <w:rFonts w:eastAsia="Calibri"/>
              </w:rPr>
            </w:pPr>
            <w:r>
              <w:rPr>
                <w:rFonts w:eastAsia="Calibri"/>
              </w:rPr>
              <w:t xml:space="preserve">Separate consultation eve </w:t>
            </w:r>
            <w:proofErr w:type="spellStart"/>
            <w:r>
              <w:rPr>
                <w:rFonts w:eastAsia="Calibri"/>
              </w:rPr>
              <w:t>ts</w:t>
            </w:r>
            <w:proofErr w:type="spellEnd"/>
            <w:r>
              <w:rPr>
                <w:rFonts w:eastAsia="Calibri"/>
              </w:rPr>
              <w:t xml:space="preserve"> for Island communities / Local Authorities? </w:t>
            </w:r>
          </w:p>
          <w:p w14:paraId="4EC45551" w14:textId="77777777" w:rsidR="00C62423" w:rsidRPr="00787250" w:rsidRDefault="00C62423" w:rsidP="002E3E0B">
            <w:pPr>
              <w:pStyle w:val="ListParagraph"/>
            </w:pPr>
          </w:p>
        </w:tc>
        <w:tc>
          <w:tcPr>
            <w:tcW w:w="3325" w:type="pct"/>
          </w:tcPr>
          <w:p w14:paraId="1793D31E" w14:textId="6B6745EC" w:rsidR="008B4628" w:rsidRDefault="00452920" w:rsidP="001E0181">
            <w:r w:rsidRPr="00452920">
              <w:t xml:space="preserve">Registers of Scotland carried out a public consultation </w:t>
            </w:r>
            <w:r>
              <w:t xml:space="preserve">on behalf of Ministers </w:t>
            </w:r>
            <w:r w:rsidRPr="00452920">
              <w:t xml:space="preserve">between 22 December 2020 and 1 February 2021 on </w:t>
            </w:r>
            <w:r>
              <w:t>these</w:t>
            </w:r>
            <w:r w:rsidRPr="00452920">
              <w:t xml:space="preserve"> proposals.  </w:t>
            </w:r>
            <w:r>
              <w:t>This included</w:t>
            </w:r>
            <w:r w:rsidRPr="00452920">
              <w:t xml:space="preserve"> </w:t>
            </w:r>
            <w:r w:rsidR="00C86831">
              <w:t xml:space="preserve">the issuing of digital extracts across </w:t>
            </w:r>
            <w:proofErr w:type="gramStart"/>
            <w:r w:rsidR="00C86831">
              <w:t>a number of</w:t>
            </w:r>
            <w:proofErr w:type="gramEnd"/>
            <w:r w:rsidR="00C86831">
              <w:t xml:space="preserve"> registers under the control of the Keeper of the Registers of Scotland.</w:t>
            </w:r>
          </w:p>
          <w:p w14:paraId="12307772" w14:textId="77777777" w:rsidR="00452920" w:rsidRDefault="00452920" w:rsidP="001E0181"/>
          <w:p w14:paraId="712F391B" w14:textId="463705D7" w:rsidR="00452920" w:rsidRDefault="00452920" w:rsidP="001E0181">
            <w:r w:rsidRPr="00452920">
              <w:t xml:space="preserve">The consultation </w:t>
            </w:r>
            <w:r w:rsidR="00030353">
              <w:t xml:space="preserve">and analysis </w:t>
            </w:r>
            <w:proofErr w:type="gramStart"/>
            <w:r w:rsidRPr="00452920">
              <w:t>is</w:t>
            </w:r>
            <w:proofErr w:type="gramEnd"/>
            <w:r w:rsidRPr="00452920">
              <w:t xml:space="preserve"> published on </w:t>
            </w:r>
            <w:r>
              <w:t>t</w:t>
            </w:r>
            <w:r w:rsidR="00030353">
              <w:t xml:space="preserve">he Registers of Scotland </w:t>
            </w:r>
            <w:r w:rsidRPr="00452920">
              <w:t xml:space="preserve">website, </w:t>
            </w:r>
            <w:r w:rsidR="00030353">
              <w:t xml:space="preserve">and was </w:t>
            </w:r>
            <w:r w:rsidRPr="00452920">
              <w:t>advertised through social media and certain stakeholders were emailed directly to invite them to respond</w:t>
            </w:r>
            <w:r w:rsidR="00030353">
              <w:t>.</w:t>
            </w:r>
          </w:p>
          <w:p w14:paraId="39776A1D" w14:textId="77777777" w:rsidR="00030353" w:rsidRDefault="00030353" w:rsidP="001E0181"/>
          <w:p w14:paraId="678EB939" w14:textId="73ED2311" w:rsidR="00030353" w:rsidRDefault="00C86831" w:rsidP="001E0181">
            <w:r>
              <w:t xml:space="preserve">Respondents were overwhelmingly positive in supporting the provision of digital extracts </w:t>
            </w:r>
            <w:proofErr w:type="gramStart"/>
            <w:r>
              <w:t>where</w:t>
            </w:r>
            <w:proofErr w:type="gramEnd"/>
            <w:r>
              <w:t xml:space="preserve"> requested by customers.</w:t>
            </w:r>
            <w:r w:rsidR="00030353" w:rsidRPr="00030353">
              <w:t xml:space="preserve">  No evidence has been presented as part of the consultation that indicated any island circumstances or realities that require to be </w:t>
            </w:r>
            <w:proofErr w:type="gramStart"/>
            <w:r w:rsidR="00030353" w:rsidRPr="00030353">
              <w:t>taken into account</w:t>
            </w:r>
            <w:proofErr w:type="gramEnd"/>
            <w:r w:rsidR="00030353" w:rsidRPr="00030353">
              <w:t>.</w:t>
            </w:r>
          </w:p>
          <w:p w14:paraId="568DFD0F" w14:textId="77777777" w:rsidR="00030353" w:rsidRDefault="00030353" w:rsidP="001E0181"/>
          <w:p w14:paraId="0F34453A" w14:textId="77777777" w:rsidR="00030353" w:rsidRDefault="005E0F4E" w:rsidP="001E0181">
            <w:r w:rsidRPr="005E0F4E">
              <w:t>No evidence has been presented as part of the consultation that indicated any unique island impacts</w:t>
            </w:r>
            <w:r>
              <w:t>, accordingly no separate consultation activity was deemed necessary</w:t>
            </w:r>
            <w:r w:rsidR="00C86831">
              <w:t>.</w:t>
            </w:r>
          </w:p>
          <w:p w14:paraId="24270617" w14:textId="77777777" w:rsidR="00C86831" w:rsidRDefault="00C86831" w:rsidP="001E0181"/>
          <w:p w14:paraId="5D09D187" w14:textId="2B202515" w:rsidR="00C86831" w:rsidRPr="00787250" w:rsidRDefault="00C86831">
            <w:r>
              <w:t xml:space="preserve">In addition, </w:t>
            </w:r>
            <w:r w:rsidR="00D4460E">
              <w:t>impact assessments for the</w:t>
            </w:r>
            <w:r>
              <w:t xml:space="preserve"> Registers of Scotland (Digital Registration</w:t>
            </w:r>
            <w:r w:rsidR="00681B36">
              <w:t>,</w:t>
            </w:r>
            <w:r>
              <w:t xml:space="preserve"> etc</w:t>
            </w:r>
            <w:r w:rsidR="00681B36">
              <w:t>.</w:t>
            </w:r>
            <w:r>
              <w:t xml:space="preserve">) Regulations 2022, which this Order </w:t>
            </w:r>
            <w:r w:rsidR="00681B36">
              <w:t>compl</w:t>
            </w:r>
            <w:r w:rsidR="00EA27F2">
              <w:t>e</w:t>
            </w:r>
            <w:r w:rsidR="00681B36">
              <w:t>ments</w:t>
            </w:r>
            <w:r w:rsidR="00D4460E">
              <w:t>, were carried out and were published on the Registers of Scotland website.</w:t>
            </w:r>
          </w:p>
        </w:tc>
      </w:tr>
    </w:tbl>
    <w:p w14:paraId="19A5F2DB" w14:textId="77777777" w:rsidR="00C62423" w:rsidRPr="00787250" w:rsidRDefault="00C62423" w:rsidP="00BB712E"/>
    <w:p w14:paraId="0E627076" w14:textId="77777777" w:rsidR="00C62423" w:rsidRPr="00787250" w:rsidRDefault="00C62423" w:rsidP="00BB712E"/>
    <w:p w14:paraId="71811B7B" w14:textId="77777777" w:rsidR="00787250" w:rsidRPr="00787250" w:rsidRDefault="00787250">
      <w:pPr>
        <w:rPr>
          <w:b/>
          <w:u w:val="single"/>
        </w:rPr>
      </w:pPr>
      <w:r w:rsidRPr="00787250">
        <w:rPr>
          <w:b/>
          <w:u w:val="single"/>
        </w:rPr>
        <w:br w:type="page"/>
      </w:r>
    </w:p>
    <w:p w14:paraId="01083BDE" w14:textId="77777777" w:rsidR="00C62423" w:rsidRPr="00787250" w:rsidRDefault="00C62423" w:rsidP="00BB712E">
      <w:pPr>
        <w:rPr>
          <w:b/>
          <w:u w:val="single"/>
        </w:rPr>
      </w:pPr>
      <w:r w:rsidRPr="00787250">
        <w:rPr>
          <w:b/>
          <w:u w:val="single"/>
        </w:rPr>
        <w:lastRenderedPageBreak/>
        <w:t>STEP FOUR - ASSESSMENT</w:t>
      </w:r>
    </w:p>
    <w:p w14:paraId="33ED62A1" w14:textId="77777777" w:rsidR="00C62423" w:rsidRPr="00787250" w:rsidRDefault="00C62423" w:rsidP="00BB712E"/>
    <w:tbl>
      <w:tblPr>
        <w:tblStyle w:val="TableGrid"/>
        <w:tblW w:w="5000" w:type="pct"/>
        <w:tblLook w:val="04A0" w:firstRow="1" w:lastRow="0" w:firstColumn="1" w:lastColumn="0" w:noHBand="0" w:noVBand="1"/>
      </w:tblPr>
      <w:tblGrid>
        <w:gridCol w:w="4106"/>
        <w:gridCol w:w="9842"/>
      </w:tblGrid>
      <w:tr w:rsidR="00C62423" w:rsidRPr="00787250" w14:paraId="260B4353" w14:textId="77777777" w:rsidTr="009500B2">
        <w:tc>
          <w:tcPr>
            <w:tcW w:w="1472" w:type="pct"/>
          </w:tcPr>
          <w:p w14:paraId="34ED900F" w14:textId="77777777" w:rsidR="00787250" w:rsidRPr="00787250" w:rsidRDefault="00787250" w:rsidP="00787250">
            <w:pPr>
              <w:pStyle w:val="ListParagraph"/>
              <w:rPr>
                <w:color w:val="auto"/>
              </w:rPr>
            </w:pPr>
          </w:p>
          <w:p w14:paraId="18BC5F10" w14:textId="77777777" w:rsidR="00C62423" w:rsidRPr="001E0181" w:rsidRDefault="00C62423" w:rsidP="00787250">
            <w:pPr>
              <w:pStyle w:val="ListParagraph"/>
              <w:numPr>
                <w:ilvl w:val="0"/>
                <w:numId w:val="14"/>
              </w:numPr>
            </w:pPr>
            <w:r w:rsidRPr="00787250">
              <w:rPr>
                <w:rFonts w:eastAsia="Calibri"/>
              </w:rPr>
              <w:t>Does your assessment identify any unique impacts on island communities?</w:t>
            </w:r>
            <w:r w:rsidR="007564D8">
              <w:rPr>
                <w:rFonts w:eastAsia="Calibri"/>
              </w:rPr>
              <w:t xml:space="preserve"> (Further detail in the Guidance)</w:t>
            </w:r>
          </w:p>
          <w:p w14:paraId="0D97AF36" w14:textId="77777777" w:rsidR="001E0181" w:rsidRDefault="001E0181" w:rsidP="001E0181">
            <w:pPr>
              <w:pStyle w:val="ListParagraph"/>
              <w:numPr>
                <w:ilvl w:val="1"/>
                <w:numId w:val="14"/>
              </w:numPr>
            </w:pPr>
            <w:r>
              <w:t>Demographic</w:t>
            </w:r>
          </w:p>
          <w:p w14:paraId="0F2963E7" w14:textId="77777777" w:rsidR="001E0181" w:rsidRDefault="001E0181" w:rsidP="001E0181">
            <w:pPr>
              <w:pStyle w:val="ListParagraph"/>
              <w:numPr>
                <w:ilvl w:val="1"/>
                <w:numId w:val="14"/>
              </w:numPr>
            </w:pPr>
            <w:r>
              <w:t>Economic</w:t>
            </w:r>
          </w:p>
          <w:p w14:paraId="41EA565E" w14:textId="77777777" w:rsidR="001E0181" w:rsidRDefault="001E0181" w:rsidP="001E0181">
            <w:pPr>
              <w:pStyle w:val="ListParagraph"/>
              <w:numPr>
                <w:ilvl w:val="1"/>
                <w:numId w:val="14"/>
              </w:numPr>
            </w:pPr>
            <w:r>
              <w:t>Gaelic</w:t>
            </w:r>
          </w:p>
          <w:p w14:paraId="5600343E" w14:textId="77777777" w:rsidR="001E0181" w:rsidRPr="00787250" w:rsidRDefault="001E0181" w:rsidP="001E0181">
            <w:pPr>
              <w:pStyle w:val="ListParagraph"/>
              <w:numPr>
                <w:ilvl w:val="1"/>
                <w:numId w:val="14"/>
              </w:numPr>
            </w:pPr>
            <w:r>
              <w:t xml:space="preserve">Social </w:t>
            </w:r>
          </w:p>
          <w:p w14:paraId="60E119D2" w14:textId="77777777" w:rsidR="00787250" w:rsidRPr="00787250" w:rsidRDefault="00787250" w:rsidP="00787250">
            <w:pPr>
              <w:pStyle w:val="ListParagraph"/>
              <w:rPr>
                <w:color w:val="auto"/>
              </w:rPr>
            </w:pPr>
          </w:p>
          <w:p w14:paraId="36A86B53" w14:textId="77777777" w:rsidR="00C62423" w:rsidRPr="00787250" w:rsidRDefault="00C62423" w:rsidP="00787250">
            <w:pPr>
              <w:pStyle w:val="ListParagraph"/>
              <w:numPr>
                <w:ilvl w:val="0"/>
                <w:numId w:val="14"/>
              </w:numPr>
            </w:pPr>
            <w:r w:rsidRPr="00787250">
              <w:rPr>
                <w:rFonts w:eastAsia="Calibri"/>
              </w:rPr>
              <w:t>Does your assessment identify any potential barriers or wider impacts?</w:t>
            </w:r>
          </w:p>
          <w:p w14:paraId="762A276A" w14:textId="77777777" w:rsidR="00787250" w:rsidRPr="00787250" w:rsidRDefault="00787250" w:rsidP="00787250">
            <w:pPr>
              <w:pStyle w:val="ListParagraph"/>
            </w:pPr>
          </w:p>
          <w:p w14:paraId="4A370CA9" w14:textId="77777777" w:rsidR="00C62423" w:rsidRPr="009500B2" w:rsidRDefault="002E3E0B" w:rsidP="002E3E0B">
            <w:pPr>
              <w:pStyle w:val="ListParagraph"/>
              <w:numPr>
                <w:ilvl w:val="0"/>
                <w:numId w:val="14"/>
              </w:numPr>
              <w:rPr>
                <w:rFonts w:eastAsia="Calibri"/>
              </w:rPr>
            </w:pPr>
            <w:r w:rsidRPr="002E3E0B">
              <w:rPr>
                <w:rFonts w:eastAsia="Calibri"/>
              </w:rPr>
              <w:t xml:space="preserve">Are there mitigations already in place for these impacts raised? </w:t>
            </w:r>
          </w:p>
        </w:tc>
        <w:tc>
          <w:tcPr>
            <w:tcW w:w="3528" w:type="pct"/>
          </w:tcPr>
          <w:p w14:paraId="3CED92AD" w14:textId="77777777" w:rsidR="00451536" w:rsidRDefault="00451536" w:rsidP="00BB712E"/>
          <w:p w14:paraId="0120C42E" w14:textId="77777777" w:rsidR="00451536" w:rsidRDefault="00451536" w:rsidP="00BB712E"/>
          <w:p w14:paraId="149F32EB" w14:textId="59C666EA" w:rsidR="00C62423" w:rsidRDefault="00183651" w:rsidP="00BB712E">
            <w:r w:rsidRPr="00183651">
              <w:t xml:space="preserve">No evidence has been presented as part of the consultation </w:t>
            </w:r>
            <w:r w:rsidR="00D4460E">
              <w:t xml:space="preserve">or subsequent stakeholder feedback </w:t>
            </w:r>
            <w:r w:rsidRPr="00183651">
              <w:t xml:space="preserve">that indicated any unique island impacts that require to be </w:t>
            </w:r>
            <w:proofErr w:type="gramStart"/>
            <w:r w:rsidRPr="00183651">
              <w:t>taken into account</w:t>
            </w:r>
            <w:proofErr w:type="gramEnd"/>
            <w:r w:rsidRPr="00183651">
              <w:t>.</w:t>
            </w:r>
          </w:p>
          <w:p w14:paraId="79834CC0" w14:textId="77777777" w:rsidR="00183651" w:rsidRDefault="00183651" w:rsidP="00BB712E"/>
          <w:p w14:paraId="0FC21C21" w14:textId="3B13B60B" w:rsidR="00183651" w:rsidRDefault="00183651" w:rsidP="00BB712E">
            <w:r>
              <w:t>No potential barrier or wider impacts identifie</w:t>
            </w:r>
            <w:r w:rsidR="0048321E">
              <w:t>r other than some potential benefits to island communities through a reduced reliance on physical transmission of documents.</w:t>
            </w:r>
          </w:p>
          <w:p w14:paraId="225B856C" w14:textId="77777777" w:rsidR="004554BF" w:rsidRDefault="004554BF" w:rsidP="00BB712E"/>
          <w:p w14:paraId="6112B734" w14:textId="6FBC9115" w:rsidR="004554BF" w:rsidRPr="00787250" w:rsidRDefault="004554BF" w:rsidP="00BB712E">
            <w:r>
              <w:t>As explained above,</w:t>
            </w:r>
            <w:r w:rsidRPr="004554BF">
              <w:t xml:space="preserve"> </w:t>
            </w:r>
            <w:r w:rsidR="00D4460E">
              <w:t>customers will be free to choose the form or extract they wish.</w:t>
            </w:r>
          </w:p>
        </w:tc>
      </w:tr>
    </w:tbl>
    <w:p w14:paraId="192288A4" w14:textId="77777777" w:rsidR="00C62423" w:rsidRPr="00787250" w:rsidRDefault="00C62423" w:rsidP="00BB712E"/>
    <w:p w14:paraId="5CE0CBFA" w14:textId="77777777" w:rsidR="00C62423" w:rsidRDefault="00C62423" w:rsidP="00BB712E">
      <w:pPr>
        <w:rPr>
          <w:b/>
        </w:rPr>
      </w:pPr>
    </w:p>
    <w:p w14:paraId="36FE0BD7" w14:textId="77777777" w:rsidR="009500B2" w:rsidRPr="009500B2" w:rsidRDefault="009500B2" w:rsidP="00BB712E">
      <w:pPr>
        <w:rPr>
          <w:b/>
          <w:sz w:val="28"/>
          <w:u w:val="single"/>
        </w:rPr>
      </w:pPr>
      <w:r w:rsidRPr="009500B2">
        <w:rPr>
          <w:b/>
          <w:sz w:val="28"/>
          <w:u w:val="single"/>
        </w:rPr>
        <w:t xml:space="preserve">Is a full Islands Communities Impact </w:t>
      </w:r>
      <w:proofErr w:type="gramStart"/>
      <w:r w:rsidRPr="009500B2">
        <w:rPr>
          <w:b/>
          <w:sz w:val="28"/>
          <w:u w:val="single"/>
        </w:rPr>
        <w:t>assessment</w:t>
      </w:r>
      <w:proofErr w:type="gramEnd"/>
      <w:r w:rsidRPr="009500B2">
        <w:rPr>
          <w:b/>
          <w:sz w:val="28"/>
          <w:u w:val="single"/>
        </w:rPr>
        <w:t xml:space="preserve"> Required? </w:t>
      </w:r>
    </w:p>
    <w:p w14:paraId="4B18FEA9" w14:textId="77777777" w:rsidR="009500B2" w:rsidRDefault="009500B2" w:rsidP="00BB712E">
      <w:pPr>
        <w:rPr>
          <w:b/>
        </w:rPr>
      </w:pPr>
    </w:p>
    <w:tbl>
      <w:tblPr>
        <w:tblStyle w:val="TableGrid"/>
        <w:tblW w:w="0" w:type="auto"/>
        <w:tblLook w:val="04A0" w:firstRow="1" w:lastRow="0" w:firstColumn="1" w:lastColumn="0" w:noHBand="0" w:noVBand="1"/>
      </w:tblPr>
      <w:tblGrid>
        <w:gridCol w:w="5665"/>
        <w:gridCol w:w="8283"/>
      </w:tblGrid>
      <w:tr w:rsidR="009500B2" w14:paraId="08720443" w14:textId="77777777" w:rsidTr="001E0181">
        <w:tc>
          <w:tcPr>
            <w:tcW w:w="5665" w:type="dxa"/>
          </w:tcPr>
          <w:p w14:paraId="18EE8525" w14:textId="77777777" w:rsidR="009500B2" w:rsidRDefault="009500B2" w:rsidP="009500B2">
            <w:pPr>
              <w:rPr>
                <w:rFonts w:eastAsia="Calibri"/>
              </w:rPr>
            </w:pPr>
            <w:r w:rsidRPr="00787250">
              <w:rPr>
                <w:rFonts w:eastAsia="Calibri"/>
              </w:rPr>
              <w:t xml:space="preserve">You must now determine whether, in your opinion, your policy, strategy or service is likely to </w:t>
            </w:r>
            <w:proofErr w:type="gramStart"/>
            <w:r w:rsidRPr="00787250">
              <w:rPr>
                <w:rFonts w:eastAsia="Calibri"/>
              </w:rPr>
              <w:t>have an effect on</w:t>
            </w:r>
            <w:proofErr w:type="gramEnd"/>
            <w:r w:rsidRPr="00787250">
              <w:rPr>
                <w:rFonts w:eastAsia="Calibri"/>
              </w:rPr>
              <w:t xml:space="preserve"> an island community which is significantly different from its effect on other communities (including other island communities).</w:t>
            </w:r>
          </w:p>
          <w:p w14:paraId="11769790" w14:textId="77777777" w:rsidR="009500B2" w:rsidRPr="00787250" w:rsidRDefault="009500B2" w:rsidP="009500B2"/>
          <w:p w14:paraId="0DA12EDB" w14:textId="77777777" w:rsidR="009500B2" w:rsidRPr="00787250" w:rsidRDefault="009500B2" w:rsidP="009500B2">
            <w:pPr>
              <w:rPr>
                <w:rFonts w:eastAsia="Calibri"/>
              </w:rPr>
            </w:pPr>
            <w:r w:rsidRPr="00787250">
              <w:rPr>
                <w:rFonts w:eastAsia="Calibri"/>
              </w:rPr>
              <w:t>To form your opinion, the following questions should be considered:</w:t>
            </w:r>
          </w:p>
          <w:p w14:paraId="7B8F3C3B" w14:textId="77777777" w:rsidR="009500B2" w:rsidRPr="00787250" w:rsidRDefault="009500B2" w:rsidP="009500B2">
            <w:pPr>
              <w:rPr>
                <w:rFonts w:eastAsia="Calibri"/>
              </w:rPr>
            </w:pPr>
          </w:p>
          <w:p w14:paraId="410697DF" w14:textId="77777777" w:rsidR="002E3E0B" w:rsidRDefault="002E3E0B" w:rsidP="005F6E43">
            <w:pPr>
              <w:pStyle w:val="ListParagraph"/>
              <w:numPr>
                <w:ilvl w:val="0"/>
                <w:numId w:val="15"/>
              </w:numPr>
              <w:rPr>
                <w:rFonts w:eastAsia="Calibri"/>
              </w:rPr>
            </w:pPr>
            <w:r w:rsidRPr="002E3E0B">
              <w:rPr>
                <w:rFonts w:eastAsia="Calibri"/>
              </w:rPr>
              <w:t>Are there mitigations in place for the impacts identified and noted above from stakeholders and community consultations? (</w:t>
            </w:r>
            <w:proofErr w:type="gramStart"/>
            <w:r w:rsidRPr="002E3E0B">
              <w:rPr>
                <w:rFonts w:eastAsia="Calibri"/>
              </w:rPr>
              <w:t>further</w:t>
            </w:r>
            <w:proofErr w:type="gramEnd"/>
            <w:r w:rsidRPr="002E3E0B">
              <w:rPr>
                <w:rFonts w:eastAsia="Calibri"/>
              </w:rPr>
              <w:t xml:space="preserve"> ICIA action not required</w:t>
            </w:r>
            <w:r>
              <w:rPr>
                <w:rFonts w:eastAsia="Calibri"/>
              </w:rPr>
              <w:t>, complete section below and publish)</w:t>
            </w:r>
            <w:r w:rsidRPr="002E3E0B">
              <w:rPr>
                <w:rFonts w:eastAsia="Calibri"/>
              </w:rPr>
              <w:t xml:space="preserve"> </w:t>
            </w:r>
          </w:p>
          <w:p w14:paraId="34FD2A57" w14:textId="77777777" w:rsidR="002E3E0B" w:rsidRPr="002E3E0B" w:rsidRDefault="002E3E0B" w:rsidP="002E3E0B">
            <w:pPr>
              <w:pStyle w:val="ListParagraph"/>
              <w:rPr>
                <w:rFonts w:eastAsia="Calibri"/>
              </w:rPr>
            </w:pPr>
          </w:p>
          <w:p w14:paraId="6F4E2DC2" w14:textId="77777777" w:rsidR="009500B2" w:rsidRPr="00787250" w:rsidRDefault="009500B2" w:rsidP="009500B2">
            <w:pPr>
              <w:pStyle w:val="ListParagraph"/>
              <w:numPr>
                <w:ilvl w:val="0"/>
                <w:numId w:val="15"/>
              </w:numPr>
              <w:rPr>
                <w:rFonts w:eastAsia="Calibri"/>
              </w:rPr>
            </w:pPr>
            <w:r w:rsidRPr="00787250">
              <w:rPr>
                <w:rFonts w:eastAsia="Calibri"/>
              </w:rPr>
              <w:t>Does the evidence show different circumstances or different expectations or needs, or different experiences or outcomes (such as different levels of satisfaction, or different rates of participation)?</w:t>
            </w:r>
          </w:p>
          <w:p w14:paraId="253E69BC" w14:textId="77777777" w:rsidR="009500B2" w:rsidRPr="00787250" w:rsidRDefault="009500B2" w:rsidP="009500B2"/>
          <w:p w14:paraId="666B0751" w14:textId="77777777" w:rsidR="009500B2" w:rsidRPr="00787250" w:rsidRDefault="009500B2" w:rsidP="009500B2">
            <w:pPr>
              <w:pStyle w:val="ListParagraph"/>
              <w:numPr>
                <w:ilvl w:val="0"/>
                <w:numId w:val="15"/>
              </w:numPr>
              <w:rPr>
                <w:rFonts w:eastAsia="Calibri"/>
              </w:rPr>
            </w:pPr>
            <w:r w:rsidRPr="00787250">
              <w:rPr>
                <w:rFonts w:eastAsia="Calibri"/>
              </w:rPr>
              <w:t>Are these different effects likely?</w:t>
            </w:r>
          </w:p>
          <w:p w14:paraId="3304AD35" w14:textId="77777777" w:rsidR="009500B2" w:rsidRPr="00787250" w:rsidRDefault="009500B2" w:rsidP="009500B2"/>
          <w:p w14:paraId="55758A9E" w14:textId="77777777" w:rsidR="009500B2" w:rsidRPr="00787250" w:rsidRDefault="009500B2" w:rsidP="009500B2">
            <w:pPr>
              <w:pStyle w:val="ListParagraph"/>
              <w:numPr>
                <w:ilvl w:val="0"/>
                <w:numId w:val="15"/>
              </w:numPr>
              <w:rPr>
                <w:rFonts w:eastAsia="Calibri"/>
              </w:rPr>
            </w:pPr>
            <w:r w:rsidRPr="00787250">
              <w:rPr>
                <w:rFonts w:eastAsia="Calibri"/>
              </w:rPr>
              <w:t>Are these effects significantly different?</w:t>
            </w:r>
          </w:p>
          <w:p w14:paraId="1953AA5D" w14:textId="77777777" w:rsidR="009500B2" w:rsidRPr="00787250" w:rsidRDefault="009500B2" w:rsidP="009500B2"/>
          <w:p w14:paraId="39BB78E5" w14:textId="77777777" w:rsidR="009500B2" w:rsidRPr="00787250" w:rsidRDefault="009500B2" w:rsidP="009500B2">
            <w:pPr>
              <w:pStyle w:val="ListParagraph"/>
              <w:numPr>
                <w:ilvl w:val="0"/>
                <w:numId w:val="15"/>
              </w:numPr>
            </w:pPr>
            <w:r w:rsidRPr="00787250">
              <w:rPr>
                <w:rFonts w:eastAsia="Calibri"/>
              </w:rPr>
              <w:t>Could the effect amount to a disadvantage for an island community compared to the mainland or between island groups?</w:t>
            </w:r>
          </w:p>
          <w:p w14:paraId="6819AB20" w14:textId="77777777" w:rsidR="009500B2" w:rsidRPr="00787250" w:rsidRDefault="009500B2" w:rsidP="009500B2">
            <w:pPr>
              <w:pStyle w:val="ListParagraph"/>
            </w:pPr>
          </w:p>
          <w:p w14:paraId="3BC6E4D5" w14:textId="77777777" w:rsidR="009500B2" w:rsidRPr="00787250" w:rsidRDefault="009500B2" w:rsidP="009500B2">
            <w:pPr>
              <w:rPr>
                <w:rFonts w:eastAsia="Calibri"/>
              </w:rPr>
            </w:pPr>
            <w:r w:rsidRPr="00787250">
              <w:rPr>
                <w:rFonts w:eastAsia="Calibri"/>
              </w:rPr>
              <w:t>If your answer is No to the above question</w:t>
            </w:r>
            <w:r>
              <w:rPr>
                <w:rFonts w:eastAsia="Calibri"/>
              </w:rPr>
              <w:t>s</w:t>
            </w:r>
            <w:r w:rsidRPr="00787250">
              <w:rPr>
                <w:rFonts w:eastAsia="Calibri"/>
              </w:rPr>
              <w:t xml:space="preserve">, </w:t>
            </w:r>
            <w:r>
              <w:rPr>
                <w:rFonts w:eastAsia="Calibri"/>
              </w:rPr>
              <w:t xml:space="preserve">please complete the box below. </w:t>
            </w:r>
            <w:r w:rsidRPr="00787250">
              <w:rPr>
                <w:rFonts w:eastAsia="Calibri"/>
              </w:rPr>
              <w:t xml:space="preserve"> </w:t>
            </w:r>
          </w:p>
          <w:p w14:paraId="5845A308" w14:textId="77777777" w:rsidR="009500B2" w:rsidRPr="00787250" w:rsidRDefault="009500B2" w:rsidP="009500B2">
            <w:pPr>
              <w:rPr>
                <w:rFonts w:eastAsia="Calibri"/>
              </w:rPr>
            </w:pPr>
          </w:p>
          <w:p w14:paraId="028C5A14" w14:textId="77777777" w:rsidR="009500B2" w:rsidRDefault="009500B2" w:rsidP="009500B2">
            <w:pPr>
              <w:rPr>
                <w:b/>
              </w:rPr>
            </w:pPr>
            <w:r w:rsidRPr="00787250">
              <w:rPr>
                <w:rFonts w:eastAsia="Calibri"/>
              </w:rPr>
              <w:t xml:space="preserve">If the answer is Yes, an ICIA must be </w:t>
            </w:r>
            <w:proofErr w:type="gramStart"/>
            <w:r w:rsidRPr="00787250">
              <w:rPr>
                <w:rFonts w:eastAsia="Calibri"/>
              </w:rPr>
              <w:t>prepared</w:t>
            </w:r>
            <w:proofErr w:type="gramEnd"/>
            <w:r w:rsidRPr="00787250">
              <w:rPr>
                <w:rFonts w:eastAsia="Calibri"/>
              </w:rPr>
              <w:t xml:space="preserve"> and you should proceed to Step 5</w:t>
            </w:r>
            <w:r>
              <w:rPr>
                <w:rFonts w:eastAsia="Calibri"/>
              </w:rPr>
              <w:t>.</w:t>
            </w:r>
          </w:p>
        </w:tc>
        <w:tc>
          <w:tcPr>
            <w:tcW w:w="8283" w:type="dxa"/>
          </w:tcPr>
          <w:p w14:paraId="5DC4F90D" w14:textId="7D144490" w:rsidR="009500B2" w:rsidRDefault="004554BF" w:rsidP="00BB712E">
            <w:pPr>
              <w:rPr>
                <w:b/>
              </w:rPr>
            </w:pPr>
            <w:r>
              <w:rPr>
                <w:b/>
              </w:rPr>
              <w:lastRenderedPageBreak/>
              <w:t>A full impact assessment is not required as t</w:t>
            </w:r>
            <w:r w:rsidR="00183651">
              <w:rPr>
                <w:b/>
              </w:rPr>
              <w:t>he proposal</w:t>
            </w:r>
            <w:r w:rsidR="00183651" w:rsidRPr="00183651">
              <w:rPr>
                <w:b/>
              </w:rPr>
              <w:t xml:space="preserve"> is </w:t>
            </w:r>
            <w:r w:rsidR="004921AE">
              <w:rPr>
                <w:b/>
              </w:rPr>
              <w:t xml:space="preserve">not </w:t>
            </w:r>
            <w:r w:rsidR="00183651" w:rsidRPr="00183651">
              <w:rPr>
                <w:b/>
              </w:rPr>
              <w:t xml:space="preserve">likely to </w:t>
            </w:r>
            <w:proofErr w:type="gramStart"/>
            <w:r w:rsidR="00183651" w:rsidRPr="00183651">
              <w:rPr>
                <w:b/>
              </w:rPr>
              <w:t>have an effect on</w:t>
            </w:r>
            <w:proofErr w:type="gramEnd"/>
            <w:r w:rsidR="00183651" w:rsidRPr="00183651">
              <w:rPr>
                <w:b/>
              </w:rPr>
              <w:t xml:space="preserve"> an island community which is significantly different from its effect on other communities (including other island communities).</w:t>
            </w:r>
            <w:r w:rsidR="004921AE">
              <w:rPr>
                <w:b/>
              </w:rPr>
              <w:t xml:space="preserve"> </w:t>
            </w:r>
          </w:p>
          <w:p w14:paraId="7563962E" w14:textId="77777777" w:rsidR="004554BF" w:rsidRDefault="004554BF" w:rsidP="00BB712E">
            <w:pPr>
              <w:rPr>
                <w:b/>
              </w:rPr>
            </w:pPr>
          </w:p>
          <w:p w14:paraId="19133A22" w14:textId="71F45D20" w:rsidR="004921AE" w:rsidRPr="00D4460E" w:rsidRDefault="00D4460E" w:rsidP="00BB712E">
            <w:pPr>
              <w:rPr>
                <w:b/>
                <w:bCs/>
              </w:rPr>
            </w:pPr>
            <w:r w:rsidRPr="00D4460E">
              <w:rPr>
                <w:b/>
                <w:bCs/>
              </w:rPr>
              <w:t>As explained above, customers will be free to choose the form or extract they wish.</w:t>
            </w:r>
          </w:p>
          <w:p w14:paraId="5D686185" w14:textId="6864D1B6" w:rsidR="004921AE" w:rsidRDefault="004921AE" w:rsidP="00BB712E">
            <w:pPr>
              <w:rPr>
                <w:b/>
              </w:rPr>
            </w:pPr>
            <w:r w:rsidRPr="004921AE">
              <w:rPr>
                <w:b/>
              </w:rPr>
              <w:lastRenderedPageBreak/>
              <w:t xml:space="preserve">No evidence has been presented as part of the consultation that indicated any unique island impacts that require to be </w:t>
            </w:r>
            <w:proofErr w:type="gramStart"/>
            <w:r w:rsidRPr="004921AE">
              <w:rPr>
                <w:b/>
              </w:rPr>
              <w:t>taken into account</w:t>
            </w:r>
            <w:proofErr w:type="gramEnd"/>
            <w:r w:rsidRPr="004921AE">
              <w:rPr>
                <w:b/>
              </w:rPr>
              <w:t>.</w:t>
            </w:r>
          </w:p>
        </w:tc>
      </w:tr>
    </w:tbl>
    <w:p w14:paraId="191A39C3" w14:textId="77777777" w:rsidR="009500B2" w:rsidRDefault="009500B2" w:rsidP="00BB712E">
      <w:pPr>
        <w:rPr>
          <w:b/>
        </w:rPr>
      </w:pPr>
    </w:p>
    <w:p w14:paraId="1E26A2E4" w14:textId="77777777" w:rsidR="009500B2" w:rsidRDefault="009500B2" w:rsidP="00BB712E">
      <w:pPr>
        <w:rPr>
          <w:b/>
        </w:rPr>
      </w:pPr>
    </w:p>
    <w:p w14:paraId="4B43CF62" w14:textId="77777777" w:rsidR="009500B2" w:rsidRDefault="009500B2" w:rsidP="00BB712E">
      <w:pPr>
        <w:rPr>
          <w:b/>
        </w:rPr>
      </w:pPr>
      <w:r>
        <w:rPr>
          <w:b/>
        </w:rPr>
        <w:t>A Full Islands Community Impact Assessment is NOT required</w:t>
      </w:r>
    </w:p>
    <w:p w14:paraId="0377B22E" w14:textId="77777777" w:rsidR="009500B2" w:rsidRPr="00787250" w:rsidRDefault="009500B2" w:rsidP="00BB712E">
      <w:pPr>
        <w:rPr>
          <w:b/>
        </w:rPr>
      </w:pPr>
    </w:p>
    <w:tbl>
      <w:tblPr>
        <w:tblStyle w:val="TableGrid"/>
        <w:tblW w:w="5000" w:type="pct"/>
        <w:tblLook w:val="04A0" w:firstRow="1" w:lastRow="0" w:firstColumn="1" w:lastColumn="0" w:noHBand="0" w:noVBand="1"/>
      </w:tblPr>
      <w:tblGrid>
        <w:gridCol w:w="2971"/>
        <w:gridCol w:w="10977"/>
      </w:tblGrid>
      <w:tr w:rsidR="009500B2" w:rsidRPr="00787250" w14:paraId="3E974393" w14:textId="77777777" w:rsidTr="009500B2">
        <w:tc>
          <w:tcPr>
            <w:tcW w:w="5000" w:type="pct"/>
            <w:gridSpan w:val="2"/>
          </w:tcPr>
          <w:p w14:paraId="21FB3E71" w14:textId="77777777" w:rsidR="009500B2" w:rsidRPr="009500B2" w:rsidRDefault="009500B2" w:rsidP="009500B2">
            <w:r>
              <w:lastRenderedPageBreak/>
              <w:t xml:space="preserve">In preparing the ICIA, I have formed an opinion that our policy, </w:t>
            </w:r>
            <w:proofErr w:type="gramStart"/>
            <w:r>
              <w:t>strategy</w:t>
            </w:r>
            <w:proofErr w:type="gramEnd"/>
            <w:r>
              <w:t xml:space="preserve"> or service is NOT likely to have an effect on an island community which is NOT significantly different from its effect on other communities (including other island communities). The reason for this is detailed below.  </w:t>
            </w:r>
          </w:p>
        </w:tc>
      </w:tr>
      <w:tr w:rsidR="009500B2" w:rsidRPr="00787250" w14:paraId="3C08D715" w14:textId="77777777" w:rsidTr="009500B2">
        <w:tc>
          <w:tcPr>
            <w:tcW w:w="5000" w:type="pct"/>
            <w:gridSpan w:val="2"/>
          </w:tcPr>
          <w:p w14:paraId="4C084607" w14:textId="10E09F0D" w:rsidR="009500B2" w:rsidRDefault="009500B2" w:rsidP="009500B2">
            <w:r>
              <w:t xml:space="preserve">Reason for not completing a full Islands Communities Impact Assessment: </w:t>
            </w:r>
          </w:p>
          <w:p w14:paraId="74735C65" w14:textId="77777777" w:rsidR="009500B2" w:rsidRDefault="009500B2" w:rsidP="009500B2"/>
          <w:p w14:paraId="68C0E668" w14:textId="7BAB6337" w:rsidR="0048321E" w:rsidRDefault="0048321E" w:rsidP="0048321E">
            <w:r>
              <w:t xml:space="preserve">A full impact assessment is not required as the proposal is unlikely to </w:t>
            </w:r>
            <w:proofErr w:type="gramStart"/>
            <w:r>
              <w:t>have an effect on</w:t>
            </w:r>
            <w:proofErr w:type="gramEnd"/>
            <w:r>
              <w:t xml:space="preserve"> an island community which is significantly different from its effect on other communities (including other island communities). </w:t>
            </w:r>
          </w:p>
          <w:p w14:paraId="4B540869" w14:textId="77777777" w:rsidR="0048321E" w:rsidRDefault="0048321E" w:rsidP="0048321E"/>
          <w:p w14:paraId="71D37BCF" w14:textId="062CF112" w:rsidR="0048321E" w:rsidRDefault="0048321E" w:rsidP="0048321E">
            <w:r>
              <w:t>As explained above, mitigations will continue to be provided to facilitate the use of paper submission, for example in situations where applicants have no or insufficient broadband access for a defined period (48 hours or more</w:t>
            </w:r>
            <w:r w:rsidR="006A5F15">
              <w:t>)</w:t>
            </w:r>
            <w:r>
              <w:t>.</w:t>
            </w:r>
          </w:p>
          <w:p w14:paraId="5941A1F8" w14:textId="77777777" w:rsidR="0048321E" w:rsidRDefault="0048321E" w:rsidP="0048321E"/>
          <w:p w14:paraId="08AC9770" w14:textId="45EF84FB" w:rsidR="009500B2" w:rsidRDefault="0048321E" w:rsidP="0048321E">
            <w:r>
              <w:t xml:space="preserve">No evidence has been presented as part of the consultation that indicated any unique island impacts that require to be </w:t>
            </w:r>
            <w:proofErr w:type="gramStart"/>
            <w:r>
              <w:t>taken into account</w:t>
            </w:r>
            <w:proofErr w:type="gramEnd"/>
            <w:r>
              <w:t>.</w:t>
            </w:r>
          </w:p>
          <w:p w14:paraId="603A6A32" w14:textId="77777777" w:rsidR="009500B2" w:rsidRDefault="009500B2" w:rsidP="009500B2"/>
        </w:tc>
      </w:tr>
      <w:tr w:rsidR="009500B2" w:rsidRPr="00787250" w14:paraId="0963E121" w14:textId="77777777" w:rsidTr="00854E14">
        <w:tc>
          <w:tcPr>
            <w:tcW w:w="1065" w:type="pct"/>
          </w:tcPr>
          <w:p w14:paraId="3A300F14" w14:textId="77777777" w:rsidR="009500B2" w:rsidRPr="00787250" w:rsidRDefault="009500B2" w:rsidP="00854E14">
            <w:r>
              <w:t xml:space="preserve">Screening </w:t>
            </w:r>
            <w:r w:rsidRPr="00787250">
              <w:t xml:space="preserve">ICIA Completed by </w:t>
            </w:r>
          </w:p>
          <w:p w14:paraId="60BF52EC" w14:textId="77777777" w:rsidR="009500B2" w:rsidRPr="00787250" w:rsidRDefault="009500B2" w:rsidP="00854E14"/>
        </w:tc>
        <w:tc>
          <w:tcPr>
            <w:tcW w:w="3935" w:type="pct"/>
          </w:tcPr>
          <w:p w14:paraId="26DD0DB7" w14:textId="0026E06A" w:rsidR="009500B2" w:rsidRPr="00787250" w:rsidRDefault="002B3748" w:rsidP="00854E14">
            <w:pPr>
              <w:rPr>
                <w:b/>
                <w:u w:val="single"/>
              </w:rPr>
            </w:pPr>
            <w:r>
              <w:rPr>
                <w:b/>
                <w:u w:val="single"/>
              </w:rPr>
              <w:t>Harry Murray</w:t>
            </w:r>
            <w:r w:rsidR="00D4460E">
              <w:rPr>
                <w:b/>
                <w:u w:val="single"/>
              </w:rPr>
              <w:t>/Jonathan Hodge</w:t>
            </w:r>
          </w:p>
        </w:tc>
      </w:tr>
      <w:tr w:rsidR="009500B2" w:rsidRPr="00787250" w14:paraId="5ABEB4F0" w14:textId="77777777" w:rsidTr="00854E14">
        <w:tc>
          <w:tcPr>
            <w:tcW w:w="1065" w:type="pct"/>
          </w:tcPr>
          <w:p w14:paraId="57C05294" w14:textId="77777777" w:rsidR="009500B2" w:rsidRPr="00787250" w:rsidRDefault="009500B2" w:rsidP="00854E14">
            <w:r w:rsidRPr="00787250">
              <w:t>Position</w:t>
            </w:r>
          </w:p>
          <w:p w14:paraId="082CDC53" w14:textId="77777777" w:rsidR="009500B2" w:rsidRPr="00787250" w:rsidRDefault="009500B2" w:rsidP="00854E14"/>
        </w:tc>
        <w:tc>
          <w:tcPr>
            <w:tcW w:w="3935" w:type="pct"/>
          </w:tcPr>
          <w:p w14:paraId="3C0D067D" w14:textId="2A52ECA6" w:rsidR="009500B2" w:rsidRPr="00787250" w:rsidRDefault="002B3748" w:rsidP="00854E14">
            <w:pPr>
              <w:rPr>
                <w:b/>
                <w:u w:val="single"/>
              </w:rPr>
            </w:pPr>
            <w:r>
              <w:rPr>
                <w:b/>
                <w:u w:val="single"/>
              </w:rPr>
              <w:t xml:space="preserve">Policy </w:t>
            </w:r>
            <w:proofErr w:type="gramStart"/>
            <w:r>
              <w:rPr>
                <w:b/>
                <w:u w:val="single"/>
              </w:rPr>
              <w:t>Lead</w:t>
            </w:r>
            <w:proofErr w:type="gramEnd"/>
            <w:r>
              <w:rPr>
                <w:b/>
                <w:u w:val="single"/>
              </w:rPr>
              <w:t>, Registers of Scotland</w:t>
            </w:r>
          </w:p>
        </w:tc>
      </w:tr>
      <w:tr w:rsidR="009500B2" w:rsidRPr="00787250" w14:paraId="0C9FC679" w14:textId="77777777" w:rsidTr="00854E14">
        <w:tc>
          <w:tcPr>
            <w:tcW w:w="1065" w:type="pct"/>
          </w:tcPr>
          <w:p w14:paraId="6130389F" w14:textId="77777777" w:rsidR="009500B2" w:rsidRPr="00787250" w:rsidRDefault="009500B2" w:rsidP="00854E14">
            <w:r w:rsidRPr="00787250">
              <w:t>Signature</w:t>
            </w:r>
            <w:r>
              <w:t xml:space="preserve"> and Date</w:t>
            </w:r>
          </w:p>
          <w:p w14:paraId="11F91903" w14:textId="77777777" w:rsidR="009500B2" w:rsidRPr="00787250" w:rsidRDefault="009500B2" w:rsidP="00854E14"/>
        </w:tc>
        <w:tc>
          <w:tcPr>
            <w:tcW w:w="3935" w:type="pct"/>
          </w:tcPr>
          <w:p w14:paraId="1C413520" w14:textId="62DCC11D" w:rsidR="009500B2" w:rsidRPr="00787250" w:rsidRDefault="00B62F1A" w:rsidP="00854E14">
            <w:pPr>
              <w:rPr>
                <w:b/>
                <w:u w:val="single"/>
              </w:rPr>
            </w:pPr>
            <w:r>
              <w:rPr>
                <w:b/>
                <w:u w:val="single"/>
              </w:rPr>
              <w:t>Jonathan Hodge, 20</w:t>
            </w:r>
            <w:r w:rsidRPr="00B62F1A">
              <w:rPr>
                <w:b/>
                <w:u w:val="single"/>
                <w:vertAlign w:val="superscript"/>
              </w:rPr>
              <w:t>th</w:t>
            </w:r>
            <w:r>
              <w:rPr>
                <w:b/>
                <w:u w:val="single"/>
              </w:rPr>
              <w:t xml:space="preserve"> May 2022</w:t>
            </w:r>
          </w:p>
        </w:tc>
      </w:tr>
      <w:tr w:rsidR="009500B2" w:rsidRPr="00787250" w14:paraId="68B21C49" w14:textId="77777777" w:rsidTr="00854E14">
        <w:tc>
          <w:tcPr>
            <w:tcW w:w="1065" w:type="pct"/>
          </w:tcPr>
          <w:p w14:paraId="688DCC1F" w14:textId="77777777" w:rsidR="009500B2" w:rsidRPr="00787250" w:rsidRDefault="009500B2" w:rsidP="00854E14">
            <w:r w:rsidRPr="00787250">
              <w:t xml:space="preserve">ICIA Authorised by </w:t>
            </w:r>
          </w:p>
          <w:p w14:paraId="22DCBBFF" w14:textId="77777777" w:rsidR="009500B2" w:rsidRPr="00787250" w:rsidRDefault="009500B2" w:rsidP="00854E14"/>
        </w:tc>
        <w:tc>
          <w:tcPr>
            <w:tcW w:w="3935" w:type="pct"/>
          </w:tcPr>
          <w:p w14:paraId="0924ED59" w14:textId="71CB849E" w:rsidR="009500B2" w:rsidRPr="00787250" w:rsidRDefault="00040214" w:rsidP="006E080A">
            <w:pPr>
              <w:tabs>
                <w:tab w:val="left" w:pos="3045"/>
              </w:tabs>
              <w:rPr>
                <w:b/>
                <w:u w:val="single"/>
              </w:rPr>
            </w:pPr>
            <w:r>
              <w:rPr>
                <w:b/>
                <w:u w:val="single"/>
              </w:rPr>
              <w:t>Dr Janet Egdell</w:t>
            </w:r>
          </w:p>
        </w:tc>
      </w:tr>
      <w:tr w:rsidR="009500B2" w:rsidRPr="00787250" w14:paraId="2E7AD198" w14:textId="77777777" w:rsidTr="00854E14">
        <w:tc>
          <w:tcPr>
            <w:tcW w:w="1065" w:type="pct"/>
          </w:tcPr>
          <w:p w14:paraId="13F41C20" w14:textId="77777777" w:rsidR="009500B2" w:rsidRPr="00787250" w:rsidRDefault="009500B2" w:rsidP="00854E14">
            <w:r w:rsidRPr="00787250">
              <w:t>Position</w:t>
            </w:r>
          </w:p>
          <w:p w14:paraId="16E7B7EB" w14:textId="77777777" w:rsidR="009500B2" w:rsidRPr="00787250" w:rsidRDefault="009500B2" w:rsidP="00854E14"/>
        </w:tc>
        <w:tc>
          <w:tcPr>
            <w:tcW w:w="3935" w:type="pct"/>
          </w:tcPr>
          <w:p w14:paraId="52876000" w14:textId="6231342F" w:rsidR="009500B2" w:rsidRPr="00787250" w:rsidRDefault="00040214" w:rsidP="00854E14">
            <w:pPr>
              <w:rPr>
                <w:b/>
                <w:u w:val="single"/>
              </w:rPr>
            </w:pPr>
            <w:r>
              <w:rPr>
                <w:b/>
                <w:u w:val="single"/>
              </w:rPr>
              <w:t>Accountable Officer</w:t>
            </w:r>
          </w:p>
        </w:tc>
      </w:tr>
      <w:tr w:rsidR="009500B2" w:rsidRPr="00787250" w14:paraId="76D63832" w14:textId="77777777" w:rsidTr="00854E14">
        <w:tc>
          <w:tcPr>
            <w:tcW w:w="1065" w:type="pct"/>
          </w:tcPr>
          <w:p w14:paraId="38C775C8" w14:textId="77777777" w:rsidR="009500B2" w:rsidRPr="00787250" w:rsidRDefault="009500B2" w:rsidP="00854E14">
            <w:r w:rsidRPr="00787250">
              <w:t>Signature</w:t>
            </w:r>
            <w:r>
              <w:t xml:space="preserve"> and Date</w:t>
            </w:r>
          </w:p>
          <w:p w14:paraId="56FE5106" w14:textId="77777777" w:rsidR="009500B2" w:rsidRPr="00787250" w:rsidRDefault="009500B2" w:rsidP="00854E14"/>
        </w:tc>
        <w:tc>
          <w:tcPr>
            <w:tcW w:w="3935" w:type="pct"/>
          </w:tcPr>
          <w:p w14:paraId="79FB6CFE" w14:textId="1C01F2D1" w:rsidR="00040214" w:rsidRDefault="00040214" w:rsidP="00854E14">
            <w:pPr>
              <w:rPr>
                <w:b/>
                <w:u w:val="single"/>
              </w:rPr>
            </w:pPr>
            <w:r>
              <w:rPr>
                <w:noProof/>
              </w:rPr>
              <w:drawing>
                <wp:inline distT="0" distB="0" distL="0" distR="0" wp14:anchorId="6940040C" wp14:editId="6F3847A3">
                  <wp:extent cx="1685925" cy="942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01216" cy="950898"/>
                          </a:xfrm>
                          <a:prstGeom prst="rect">
                            <a:avLst/>
                          </a:prstGeom>
                        </pic:spPr>
                      </pic:pic>
                    </a:graphicData>
                  </a:graphic>
                </wp:inline>
              </w:drawing>
            </w:r>
          </w:p>
          <w:p w14:paraId="11CD0728" w14:textId="77777777" w:rsidR="00040214" w:rsidRDefault="00040214" w:rsidP="00854E14">
            <w:pPr>
              <w:rPr>
                <w:b/>
                <w:u w:val="single"/>
              </w:rPr>
            </w:pPr>
          </w:p>
          <w:p w14:paraId="75772513" w14:textId="2A2C2104" w:rsidR="009500B2" w:rsidRPr="00787250" w:rsidRDefault="00040214" w:rsidP="00854E14">
            <w:pPr>
              <w:rPr>
                <w:b/>
                <w:u w:val="single"/>
              </w:rPr>
            </w:pPr>
            <w:r>
              <w:rPr>
                <w:b/>
                <w:u w:val="single"/>
              </w:rPr>
              <w:t>20 May 2022</w:t>
            </w:r>
          </w:p>
        </w:tc>
      </w:tr>
    </w:tbl>
    <w:p w14:paraId="3E704071" w14:textId="77777777" w:rsidR="00C62423" w:rsidRPr="00787250" w:rsidRDefault="00C62423" w:rsidP="00787250">
      <w:pPr>
        <w:rPr>
          <w:b/>
          <w:u w:val="single"/>
        </w:rPr>
      </w:pPr>
    </w:p>
    <w:sectPr w:rsidR="00C62423" w:rsidRPr="00787250" w:rsidSect="00C62423">
      <w:footerReference w:type="default" r:id="rId11"/>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EB88" w14:textId="77777777" w:rsidR="00595266" w:rsidRDefault="00595266" w:rsidP="00BB712E">
      <w:r>
        <w:separator/>
      </w:r>
    </w:p>
  </w:endnote>
  <w:endnote w:type="continuationSeparator" w:id="0">
    <w:p w14:paraId="321CCABF" w14:textId="77777777" w:rsidR="00595266" w:rsidRDefault="00595266" w:rsidP="00BB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31DE" w14:textId="77777777" w:rsidR="004B655E" w:rsidRDefault="004B655E">
    <w:pPr>
      <w:pStyle w:val="Footer"/>
    </w:pPr>
    <w:r>
      <w:t>Version 2. 18 Feb 2021</w:t>
    </w:r>
  </w:p>
  <w:p w14:paraId="64441585" w14:textId="77777777" w:rsidR="004B655E" w:rsidRDefault="004B6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03CB" w14:textId="77777777" w:rsidR="00595266" w:rsidRDefault="00595266" w:rsidP="00BB712E">
      <w:r>
        <w:separator/>
      </w:r>
    </w:p>
  </w:footnote>
  <w:footnote w:type="continuationSeparator" w:id="0">
    <w:p w14:paraId="5320BB79" w14:textId="77777777" w:rsidR="00595266" w:rsidRDefault="00595266" w:rsidP="00BB7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636C04"/>
    <w:multiLevelType w:val="hybridMultilevel"/>
    <w:tmpl w:val="607CF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68F4"/>
    <w:multiLevelType w:val="hybridMultilevel"/>
    <w:tmpl w:val="3D66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E6892"/>
    <w:multiLevelType w:val="hybridMultilevel"/>
    <w:tmpl w:val="1110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C422B"/>
    <w:multiLevelType w:val="hybridMultilevel"/>
    <w:tmpl w:val="63D8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C55EB"/>
    <w:multiLevelType w:val="hybridMultilevel"/>
    <w:tmpl w:val="AF48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B5290"/>
    <w:multiLevelType w:val="hybridMultilevel"/>
    <w:tmpl w:val="59244274"/>
    <w:lvl w:ilvl="0" w:tplc="08090001">
      <w:start w:val="1"/>
      <w:numFmt w:val="bullet"/>
      <w:lvlText w:val=""/>
      <w:lvlJc w:val="left"/>
      <w:pPr>
        <w:ind w:left="2859" w:hanging="360"/>
      </w:pPr>
      <w:rPr>
        <w:rFonts w:ascii="Symbol" w:hAnsi="Symbol" w:hint="default"/>
      </w:rPr>
    </w:lvl>
    <w:lvl w:ilvl="1" w:tplc="08090003" w:tentative="1">
      <w:start w:val="1"/>
      <w:numFmt w:val="bullet"/>
      <w:lvlText w:val="o"/>
      <w:lvlJc w:val="left"/>
      <w:pPr>
        <w:ind w:left="3579" w:hanging="360"/>
      </w:pPr>
      <w:rPr>
        <w:rFonts w:ascii="Courier New" w:hAnsi="Courier New" w:cs="Courier New" w:hint="default"/>
      </w:rPr>
    </w:lvl>
    <w:lvl w:ilvl="2" w:tplc="08090005" w:tentative="1">
      <w:start w:val="1"/>
      <w:numFmt w:val="bullet"/>
      <w:lvlText w:val=""/>
      <w:lvlJc w:val="left"/>
      <w:pPr>
        <w:ind w:left="4299" w:hanging="360"/>
      </w:pPr>
      <w:rPr>
        <w:rFonts w:ascii="Wingdings" w:hAnsi="Wingdings" w:hint="default"/>
      </w:rPr>
    </w:lvl>
    <w:lvl w:ilvl="3" w:tplc="08090001" w:tentative="1">
      <w:start w:val="1"/>
      <w:numFmt w:val="bullet"/>
      <w:lvlText w:val=""/>
      <w:lvlJc w:val="left"/>
      <w:pPr>
        <w:ind w:left="5019" w:hanging="360"/>
      </w:pPr>
      <w:rPr>
        <w:rFonts w:ascii="Symbol" w:hAnsi="Symbol" w:hint="default"/>
      </w:rPr>
    </w:lvl>
    <w:lvl w:ilvl="4" w:tplc="08090003" w:tentative="1">
      <w:start w:val="1"/>
      <w:numFmt w:val="bullet"/>
      <w:lvlText w:val="o"/>
      <w:lvlJc w:val="left"/>
      <w:pPr>
        <w:ind w:left="5739" w:hanging="360"/>
      </w:pPr>
      <w:rPr>
        <w:rFonts w:ascii="Courier New" w:hAnsi="Courier New" w:cs="Courier New" w:hint="default"/>
      </w:rPr>
    </w:lvl>
    <w:lvl w:ilvl="5" w:tplc="08090005" w:tentative="1">
      <w:start w:val="1"/>
      <w:numFmt w:val="bullet"/>
      <w:lvlText w:val=""/>
      <w:lvlJc w:val="left"/>
      <w:pPr>
        <w:ind w:left="6459" w:hanging="360"/>
      </w:pPr>
      <w:rPr>
        <w:rFonts w:ascii="Wingdings" w:hAnsi="Wingdings" w:hint="default"/>
      </w:rPr>
    </w:lvl>
    <w:lvl w:ilvl="6" w:tplc="08090001" w:tentative="1">
      <w:start w:val="1"/>
      <w:numFmt w:val="bullet"/>
      <w:lvlText w:val=""/>
      <w:lvlJc w:val="left"/>
      <w:pPr>
        <w:ind w:left="7179" w:hanging="360"/>
      </w:pPr>
      <w:rPr>
        <w:rFonts w:ascii="Symbol" w:hAnsi="Symbol" w:hint="default"/>
      </w:rPr>
    </w:lvl>
    <w:lvl w:ilvl="7" w:tplc="08090003" w:tentative="1">
      <w:start w:val="1"/>
      <w:numFmt w:val="bullet"/>
      <w:lvlText w:val="o"/>
      <w:lvlJc w:val="left"/>
      <w:pPr>
        <w:ind w:left="7899" w:hanging="360"/>
      </w:pPr>
      <w:rPr>
        <w:rFonts w:ascii="Courier New" w:hAnsi="Courier New" w:cs="Courier New" w:hint="default"/>
      </w:rPr>
    </w:lvl>
    <w:lvl w:ilvl="8" w:tplc="08090005" w:tentative="1">
      <w:start w:val="1"/>
      <w:numFmt w:val="bullet"/>
      <w:lvlText w:val=""/>
      <w:lvlJc w:val="left"/>
      <w:pPr>
        <w:ind w:left="8619" w:hanging="360"/>
      </w:pPr>
      <w:rPr>
        <w:rFonts w:ascii="Wingdings" w:hAnsi="Wingdings" w:hint="default"/>
      </w:rPr>
    </w:lvl>
  </w:abstractNum>
  <w:abstractNum w:abstractNumId="7" w15:restartNumberingAfterBreak="0">
    <w:nsid w:val="276E4DDC"/>
    <w:multiLevelType w:val="hybridMultilevel"/>
    <w:tmpl w:val="8364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E7C2F"/>
    <w:multiLevelType w:val="hybridMultilevel"/>
    <w:tmpl w:val="B704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4588C"/>
    <w:multiLevelType w:val="hybridMultilevel"/>
    <w:tmpl w:val="D532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A446D"/>
    <w:multiLevelType w:val="hybridMultilevel"/>
    <w:tmpl w:val="2730C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A6385"/>
    <w:multiLevelType w:val="hybridMultilevel"/>
    <w:tmpl w:val="19785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C351F"/>
    <w:multiLevelType w:val="hybridMultilevel"/>
    <w:tmpl w:val="43AA4416"/>
    <w:lvl w:ilvl="0" w:tplc="FFFFFFFF">
      <w:start w:val="1"/>
      <w:numFmt w:val="bullet"/>
      <w:lvlText w:val=""/>
      <w:lvlJc w:val="left"/>
      <w:pPr>
        <w:ind w:left="720" w:hanging="360"/>
      </w:pPr>
      <w:rPr>
        <w:rFonts w:ascii="Symbol" w:hAnsi="Symbol" w:hint="default"/>
      </w:rPr>
    </w:lvl>
    <w:lvl w:ilvl="1" w:tplc="CAE89D70">
      <w:start w:val="1"/>
      <w:numFmt w:val="bullet"/>
      <w:lvlText w:val="o"/>
      <w:lvlJc w:val="left"/>
      <w:pPr>
        <w:ind w:left="1440" w:hanging="360"/>
      </w:pPr>
      <w:rPr>
        <w:rFonts w:ascii="Courier New" w:hAnsi="Courier New" w:hint="default"/>
      </w:rPr>
    </w:lvl>
    <w:lvl w:ilvl="2" w:tplc="785E54D0">
      <w:start w:val="1"/>
      <w:numFmt w:val="bullet"/>
      <w:lvlText w:val=""/>
      <w:lvlJc w:val="left"/>
      <w:pPr>
        <w:ind w:left="2160" w:hanging="360"/>
      </w:pPr>
      <w:rPr>
        <w:rFonts w:ascii="Wingdings" w:hAnsi="Wingdings" w:hint="default"/>
      </w:rPr>
    </w:lvl>
    <w:lvl w:ilvl="3" w:tplc="27E2643A">
      <w:start w:val="1"/>
      <w:numFmt w:val="bullet"/>
      <w:lvlText w:val=""/>
      <w:lvlJc w:val="left"/>
      <w:pPr>
        <w:ind w:left="2880" w:hanging="360"/>
      </w:pPr>
      <w:rPr>
        <w:rFonts w:ascii="Symbol" w:hAnsi="Symbol" w:hint="default"/>
      </w:rPr>
    </w:lvl>
    <w:lvl w:ilvl="4" w:tplc="A42A62C6">
      <w:start w:val="1"/>
      <w:numFmt w:val="bullet"/>
      <w:lvlText w:val="o"/>
      <w:lvlJc w:val="left"/>
      <w:pPr>
        <w:ind w:left="3600" w:hanging="360"/>
      </w:pPr>
      <w:rPr>
        <w:rFonts w:ascii="Courier New" w:hAnsi="Courier New" w:hint="default"/>
      </w:rPr>
    </w:lvl>
    <w:lvl w:ilvl="5" w:tplc="D00E1F40">
      <w:start w:val="1"/>
      <w:numFmt w:val="bullet"/>
      <w:lvlText w:val=""/>
      <w:lvlJc w:val="left"/>
      <w:pPr>
        <w:ind w:left="4320" w:hanging="360"/>
      </w:pPr>
      <w:rPr>
        <w:rFonts w:ascii="Wingdings" w:hAnsi="Wingdings" w:hint="default"/>
      </w:rPr>
    </w:lvl>
    <w:lvl w:ilvl="6" w:tplc="475C1476">
      <w:start w:val="1"/>
      <w:numFmt w:val="bullet"/>
      <w:lvlText w:val=""/>
      <w:lvlJc w:val="left"/>
      <w:pPr>
        <w:ind w:left="5040" w:hanging="360"/>
      </w:pPr>
      <w:rPr>
        <w:rFonts w:ascii="Symbol" w:hAnsi="Symbol" w:hint="default"/>
      </w:rPr>
    </w:lvl>
    <w:lvl w:ilvl="7" w:tplc="565805AE">
      <w:start w:val="1"/>
      <w:numFmt w:val="bullet"/>
      <w:lvlText w:val="o"/>
      <w:lvlJc w:val="left"/>
      <w:pPr>
        <w:ind w:left="5760" w:hanging="360"/>
      </w:pPr>
      <w:rPr>
        <w:rFonts w:ascii="Courier New" w:hAnsi="Courier New" w:hint="default"/>
      </w:rPr>
    </w:lvl>
    <w:lvl w:ilvl="8" w:tplc="640ED2A0">
      <w:start w:val="1"/>
      <w:numFmt w:val="bullet"/>
      <w:lvlText w:val=""/>
      <w:lvlJc w:val="left"/>
      <w:pPr>
        <w:ind w:left="6480" w:hanging="360"/>
      </w:pPr>
      <w:rPr>
        <w:rFonts w:ascii="Wingdings" w:hAnsi="Wingdings" w:hint="default"/>
      </w:rPr>
    </w:lvl>
  </w:abstractNum>
  <w:abstractNum w:abstractNumId="13" w15:restartNumberingAfterBreak="0">
    <w:nsid w:val="3B7B2207"/>
    <w:multiLevelType w:val="hybridMultilevel"/>
    <w:tmpl w:val="FECE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E730F"/>
    <w:multiLevelType w:val="hybridMultilevel"/>
    <w:tmpl w:val="15DA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A4251"/>
    <w:multiLevelType w:val="hybridMultilevel"/>
    <w:tmpl w:val="2580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F7871"/>
    <w:multiLevelType w:val="hybridMultilevel"/>
    <w:tmpl w:val="BB985980"/>
    <w:lvl w:ilvl="0" w:tplc="DE0CEB44">
      <w:start w:val="1"/>
      <w:numFmt w:val="bullet"/>
      <w:lvlText w:val=""/>
      <w:lvlJc w:val="left"/>
      <w:pPr>
        <w:tabs>
          <w:tab w:val="num" w:pos="720"/>
        </w:tabs>
        <w:ind w:left="720" w:hanging="360"/>
      </w:pPr>
      <w:rPr>
        <w:rFonts w:ascii="Symbol" w:hAnsi="Symbol" w:hint="default"/>
        <w:sz w:val="20"/>
      </w:rPr>
    </w:lvl>
    <w:lvl w:ilvl="1" w:tplc="141CDB80" w:tentative="1">
      <w:start w:val="1"/>
      <w:numFmt w:val="bullet"/>
      <w:lvlText w:val=""/>
      <w:lvlJc w:val="left"/>
      <w:pPr>
        <w:tabs>
          <w:tab w:val="num" w:pos="1440"/>
        </w:tabs>
        <w:ind w:left="1440" w:hanging="360"/>
      </w:pPr>
      <w:rPr>
        <w:rFonts w:ascii="Symbol" w:hAnsi="Symbol" w:hint="default"/>
        <w:sz w:val="20"/>
      </w:rPr>
    </w:lvl>
    <w:lvl w:ilvl="2" w:tplc="4BCC3FC2" w:tentative="1">
      <w:start w:val="1"/>
      <w:numFmt w:val="bullet"/>
      <w:lvlText w:val=""/>
      <w:lvlJc w:val="left"/>
      <w:pPr>
        <w:tabs>
          <w:tab w:val="num" w:pos="2160"/>
        </w:tabs>
        <w:ind w:left="2160" w:hanging="360"/>
      </w:pPr>
      <w:rPr>
        <w:rFonts w:ascii="Symbol" w:hAnsi="Symbol" w:hint="default"/>
        <w:sz w:val="20"/>
      </w:rPr>
    </w:lvl>
    <w:lvl w:ilvl="3" w:tplc="74D0BC3A" w:tentative="1">
      <w:start w:val="1"/>
      <w:numFmt w:val="bullet"/>
      <w:lvlText w:val=""/>
      <w:lvlJc w:val="left"/>
      <w:pPr>
        <w:tabs>
          <w:tab w:val="num" w:pos="2880"/>
        </w:tabs>
        <w:ind w:left="2880" w:hanging="360"/>
      </w:pPr>
      <w:rPr>
        <w:rFonts w:ascii="Symbol" w:hAnsi="Symbol" w:hint="default"/>
        <w:sz w:val="20"/>
      </w:rPr>
    </w:lvl>
    <w:lvl w:ilvl="4" w:tplc="8236BFFC" w:tentative="1">
      <w:start w:val="1"/>
      <w:numFmt w:val="bullet"/>
      <w:lvlText w:val=""/>
      <w:lvlJc w:val="left"/>
      <w:pPr>
        <w:tabs>
          <w:tab w:val="num" w:pos="3600"/>
        </w:tabs>
        <w:ind w:left="3600" w:hanging="360"/>
      </w:pPr>
      <w:rPr>
        <w:rFonts w:ascii="Symbol" w:hAnsi="Symbol" w:hint="default"/>
        <w:sz w:val="20"/>
      </w:rPr>
    </w:lvl>
    <w:lvl w:ilvl="5" w:tplc="C27A7B22" w:tentative="1">
      <w:start w:val="1"/>
      <w:numFmt w:val="bullet"/>
      <w:lvlText w:val=""/>
      <w:lvlJc w:val="left"/>
      <w:pPr>
        <w:tabs>
          <w:tab w:val="num" w:pos="4320"/>
        </w:tabs>
        <w:ind w:left="4320" w:hanging="360"/>
      </w:pPr>
      <w:rPr>
        <w:rFonts w:ascii="Symbol" w:hAnsi="Symbol" w:hint="default"/>
        <w:sz w:val="20"/>
      </w:rPr>
    </w:lvl>
    <w:lvl w:ilvl="6" w:tplc="3132AD16" w:tentative="1">
      <w:start w:val="1"/>
      <w:numFmt w:val="bullet"/>
      <w:lvlText w:val=""/>
      <w:lvlJc w:val="left"/>
      <w:pPr>
        <w:tabs>
          <w:tab w:val="num" w:pos="5040"/>
        </w:tabs>
        <w:ind w:left="5040" w:hanging="360"/>
      </w:pPr>
      <w:rPr>
        <w:rFonts w:ascii="Symbol" w:hAnsi="Symbol" w:hint="default"/>
        <w:sz w:val="20"/>
      </w:rPr>
    </w:lvl>
    <w:lvl w:ilvl="7" w:tplc="937C6AA6" w:tentative="1">
      <w:start w:val="1"/>
      <w:numFmt w:val="bullet"/>
      <w:lvlText w:val=""/>
      <w:lvlJc w:val="left"/>
      <w:pPr>
        <w:tabs>
          <w:tab w:val="num" w:pos="5760"/>
        </w:tabs>
        <w:ind w:left="5760" w:hanging="360"/>
      </w:pPr>
      <w:rPr>
        <w:rFonts w:ascii="Symbol" w:hAnsi="Symbol" w:hint="default"/>
        <w:sz w:val="20"/>
      </w:rPr>
    </w:lvl>
    <w:lvl w:ilvl="8" w:tplc="F6F6D81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E72760"/>
    <w:multiLevelType w:val="hybridMultilevel"/>
    <w:tmpl w:val="CD92E2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D70703"/>
    <w:multiLevelType w:val="hybridMultilevel"/>
    <w:tmpl w:val="4DBA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93CF8"/>
    <w:multiLevelType w:val="hybridMultilevel"/>
    <w:tmpl w:val="68E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71675D7A"/>
    <w:multiLevelType w:val="hybridMultilevel"/>
    <w:tmpl w:val="0A20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236062">
    <w:abstractNumId w:val="20"/>
  </w:num>
  <w:num w:numId="2" w16cid:durableId="1256406384">
    <w:abstractNumId w:val="0"/>
  </w:num>
  <w:num w:numId="3" w16cid:durableId="568348942">
    <w:abstractNumId w:val="0"/>
  </w:num>
  <w:num w:numId="4" w16cid:durableId="383869861">
    <w:abstractNumId w:val="0"/>
  </w:num>
  <w:num w:numId="5" w16cid:durableId="1351298917">
    <w:abstractNumId w:val="20"/>
  </w:num>
  <w:num w:numId="6" w16cid:durableId="1154370763">
    <w:abstractNumId w:val="0"/>
  </w:num>
  <w:num w:numId="7" w16cid:durableId="275064497">
    <w:abstractNumId w:val="3"/>
  </w:num>
  <w:num w:numId="8" w16cid:durableId="1022979765">
    <w:abstractNumId w:val="14"/>
  </w:num>
  <w:num w:numId="9" w16cid:durableId="2027636965">
    <w:abstractNumId w:val="9"/>
  </w:num>
  <w:num w:numId="10" w16cid:durableId="885679997">
    <w:abstractNumId w:val="2"/>
  </w:num>
  <w:num w:numId="11" w16cid:durableId="1478688920">
    <w:abstractNumId w:val="19"/>
  </w:num>
  <w:num w:numId="12" w16cid:durableId="131215180">
    <w:abstractNumId w:val="8"/>
  </w:num>
  <w:num w:numId="13" w16cid:durableId="489566623">
    <w:abstractNumId w:val="5"/>
  </w:num>
  <w:num w:numId="14" w16cid:durableId="1289553978">
    <w:abstractNumId w:val="7"/>
  </w:num>
  <w:num w:numId="15" w16cid:durableId="1761171109">
    <w:abstractNumId w:val="13"/>
  </w:num>
  <w:num w:numId="16" w16cid:durableId="348259357">
    <w:abstractNumId w:val="21"/>
  </w:num>
  <w:num w:numId="17" w16cid:durableId="894312298">
    <w:abstractNumId w:val="18"/>
  </w:num>
  <w:num w:numId="18" w16cid:durableId="167789793">
    <w:abstractNumId w:val="15"/>
  </w:num>
  <w:num w:numId="19" w16cid:durableId="1550603056">
    <w:abstractNumId w:val="6"/>
  </w:num>
  <w:num w:numId="20" w16cid:durableId="1467819883">
    <w:abstractNumId w:val="12"/>
  </w:num>
  <w:num w:numId="21" w16cid:durableId="856120563">
    <w:abstractNumId w:val="16"/>
  </w:num>
  <w:num w:numId="22" w16cid:durableId="1282304307">
    <w:abstractNumId w:val="4"/>
  </w:num>
  <w:num w:numId="23" w16cid:durableId="2000495715">
    <w:abstractNumId w:val="11"/>
  </w:num>
  <w:num w:numId="24" w16cid:durableId="454375757">
    <w:abstractNumId w:val="17"/>
  </w:num>
  <w:num w:numId="25" w16cid:durableId="1717124176">
    <w:abstractNumId w:val="1"/>
  </w:num>
  <w:num w:numId="26" w16cid:durableId="487789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23"/>
    <w:rsid w:val="00027C27"/>
    <w:rsid w:val="00030353"/>
    <w:rsid w:val="000345FD"/>
    <w:rsid w:val="00040214"/>
    <w:rsid w:val="000C0CF4"/>
    <w:rsid w:val="00155611"/>
    <w:rsid w:val="00183651"/>
    <w:rsid w:val="001A1204"/>
    <w:rsid w:val="001A7844"/>
    <w:rsid w:val="001E0181"/>
    <w:rsid w:val="00281579"/>
    <w:rsid w:val="002B3748"/>
    <w:rsid w:val="002E3E0B"/>
    <w:rsid w:val="002E4F61"/>
    <w:rsid w:val="00306C61"/>
    <w:rsid w:val="0037582B"/>
    <w:rsid w:val="003B1648"/>
    <w:rsid w:val="00451536"/>
    <w:rsid w:val="00452920"/>
    <w:rsid w:val="004554BF"/>
    <w:rsid w:val="004737E8"/>
    <w:rsid w:val="0048321E"/>
    <w:rsid w:val="004921AE"/>
    <w:rsid w:val="004B655E"/>
    <w:rsid w:val="00595266"/>
    <w:rsid w:val="005E0F4E"/>
    <w:rsid w:val="0068049D"/>
    <w:rsid w:val="00681B36"/>
    <w:rsid w:val="006A5F15"/>
    <w:rsid w:val="006E080A"/>
    <w:rsid w:val="007564D8"/>
    <w:rsid w:val="007868FE"/>
    <w:rsid w:val="00787250"/>
    <w:rsid w:val="007B701D"/>
    <w:rsid w:val="0081560E"/>
    <w:rsid w:val="008245F6"/>
    <w:rsid w:val="00857548"/>
    <w:rsid w:val="008950B9"/>
    <w:rsid w:val="008A3C94"/>
    <w:rsid w:val="008A3D1F"/>
    <w:rsid w:val="008B4628"/>
    <w:rsid w:val="009500B2"/>
    <w:rsid w:val="009B7615"/>
    <w:rsid w:val="00AC4414"/>
    <w:rsid w:val="00B4271F"/>
    <w:rsid w:val="00B51BDC"/>
    <w:rsid w:val="00B561C0"/>
    <w:rsid w:val="00B62F1A"/>
    <w:rsid w:val="00B773CE"/>
    <w:rsid w:val="00B94BFF"/>
    <w:rsid w:val="00BB712E"/>
    <w:rsid w:val="00C14030"/>
    <w:rsid w:val="00C62423"/>
    <w:rsid w:val="00C86831"/>
    <w:rsid w:val="00C91823"/>
    <w:rsid w:val="00CB5A9E"/>
    <w:rsid w:val="00CB7062"/>
    <w:rsid w:val="00D008AB"/>
    <w:rsid w:val="00D4460E"/>
    <w:rsid w:val="00DF24FB"/>
    <w:rsid w:val="00E85C99"/>
    <w:rsid w:val="00EA27F2"/>
    <w:rsid w:val="00EC6FB6"/>
    <w:rsid w:val="00F12FF6"/>
    <w:rsid w:val="00F35C13"/>
    <w:rsid w:val="00F93479"/>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D0D5"/>
  <w15:chartTrackingRefBased/>
  <w15:docId w15:val="{B3538ACE-0BCB-4222-ABC8-37264240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181717"/>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C6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C62423"/>
    <w:pPr>
      <w:ind w:left="720"/>
      <w:contextualSpacing/>
    </w:pPr>
  </w:style>
  <w:style w:type="character" w:styleId="CommentReference">
    <w:name w:val="annotation reference"/>
    <w:basedOn w:val="DefaultParagraphFont"/>
    <w:uiPriority w:val="99"/>
    <w:semiHidden/>
    <w:unhideWhenUsed/>
    <w:rsid w:val="00787250"/>
    <w:rPr>
      <w:sz w:val="16"/>
      <w:szCs w:val="16"/>
    </w:rPr>
  </w:style>
  <w:style w:type="paragraph" w:styleId="CommentText">
    <w:name w:val="annotation text"/>
    <w:basedOn w:val="Normal"/>
    <w:link w:val="CommentTextChar"/>
    <w:uiPriority w:val="99"/>
    <w:semiHidden/>
    <w:unhideWhenUsed/>
    <w:rsid w:val="00787250"/>
    <w:rPr>
      <w:sz w:val="20"/>
    </w:rPr>
  </w:style>
  <w:style w:type="character" w:customStyle="1" w:styleId="CommentTextChar">
    <w:name w:val="Comment Text Char"/>
    <w:basedOn w:val="DefaultParagraphFont"/>
    <w:link w:val="CommentText"/>
    <w:uiPriority w:val="99"/>
    <w:semiHidden/>
    <w:rsid w:val="00787250"/>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87250"/>
    <w:rPr>
      <w:b/>
      <w:bCs/>
    </w:rPr>
  </w:style>
  <w:style w:type="character" w:customStyle="1" w:styleId="CommentSubjectChar">
    <w:name w:val="Comment Subject Char"/>
    <w:basedOn w:val="CommentTextChar"/>
    <w:link w:val="CommentSubject"/>
    <w:uiPriority w:val="99"/>
    <w:semiHidden/>
    <w:rsid w:val="00787250"/>
    <w:rPr>
      <w:rFonts w:ascii="Arial" w:hAnsi="Arial" w:cs="Times New Roman"/>
      <w:b/>
      <w:bCs/>
      <w:sz w:val="20"/>
      <w:szCs w:val="20"/>
    </w:rPr>
  </w:style>
  <w:style w:type="paragraph" w:styleId="BalloonText">
    <w:name w:val="Balloon Text"/>
    <w:basedOn w:val="Normal"/>
    <w:link w:val="BalloonTextChar"/>
    <w:uiPriority w:val="99"/>
    <w:semiHidden/>
    <w:unhideWhenUsed/>
    <w:rsid w:val="00787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250"/>
    <w:rPr>
      <w:rFonts w:ascii="Segoe UI" w:hAnsi="Segoe UI" w:cs="Segoe UI"/>
      <w:sz w:val="18"/>
      <w:szCs w:val="18"/>
    </w:rPr>
  </w:style>
  <w:style w:type="character" w:customStyle="1" w:styleId="normaltextrun">
    <w:name w:val="normaltextrun"/>
    <w:basedOn w:val="DefaultParagraphFont"/>
    <w:rsid w:val="004B655E"/>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4B655E"/>
  </w:style>
  <w:style w:type="character" w:customStyle="1" w:styleId="eop">
    <w:name w:val="eop"/>
    <w:basedOn w:val="DefaultParagraphFont"/>
    <w:rsid w:val="004B655E"/>
  </w:style>
  <w:style w:type="character" w:styleId="Hyperlink">
    <w:name w:val="Hyperlink"/>
    <w:basedOn w:val="DefaultParagraphFont"/>
    <w:uiPriority w:val="99"/>
    <w:unhideWhenUsed/>
    <w:rsid w:val="004B655E"/>
    <w:rPr>
      <w:color w:val="0563C1" w:themeColor="hyperlink"/>
      <w:u w:val="single"/>
    </w:rPr>
  </w:style>
  <w:style w:type="character" w:styleId="FollowedHyperlink">
    <w:name w:val="FollowedHyperlink"/>
    <w:basedOn w:val="DefaultParagraphFont"/>
    <w:uiPriority w:val="99"/>
    <w:semiHidden/>
    <w:unhideWhenUsed/>
    <w:rsid w:val="009500B2"/>
    <w:rPr>
      <w:color w:val="954F72" w:themeColor="followedHyperlink"/>
      <w:u w:val="single"/>
    </w:rPr>
  </w:style>
  <w:style w:type="paragraph" w:styleId="FootnoteText">
    <w:name w:val="footnote text"/>
    <w:basedOn w:val="Normal"/>
    <w:link w:val="FootnoteTextChar"/>
    <w:uiPriority w:val="99"/>
    <w:semiHidden/>
    <w:unhideWhenUsed/>
    <w:rsid w:val="009500B2"/>
    <w:pPr>
      <w:ind w:left="357"/>
    </w:pPr>
    <w:rPr>
      <w:rFonts w:cstheme="minorBidi"/>
      <w:color w:val="auto"/>
      <w:sz w:val="20"/>
      <w:szCs w:val="20"/>
    </w:rPr>
  </w:style>
  <w:style w:type="character" w:customStyle="1" w:styleId="FootnoteTextChar">
    <w:name w:val="Footnote Text Char"/>
    <w:basedOn w:val="DefaultParagraphFont"/>
    <w:link w:val="FootnoteText"/>
    <w:uiPriority w:val="99"/>
    <w:semiHidden/>
    <w:rsid w:val="009500B2"/>
    <w:rPr>
      <w:rFonts w:cstheme="minorBidi"/>
      <w:color w:val="auto"/>
      <w:sz w:val="20"/>
      <w:szCs w:val="20"/>
    </w:rPr>
  </w:style>
  <w:style w:type="character" w:styleId="FootnoteReference">
    <w:name w:val="footnote reference"/>
    <w:basedOn w:val="DefaultParagraphFont"/>
    <w:uiPriority w:val="99"/>
    <w:semiHidden/>
    <w:unhideWhenUsed/>
    <w:rsid w:val="009500B2"/>
    <w:rPr>
      <w:vertAlign w:val="superscript"/>
    </w:rPr>
  </w:style>
  <w:style w:type="paragraph" w:customStyle="1" w:styleId="Default">
    <w:name w:val="Default"/>
    <w:basedOn w:val="Normal"/>
    <w:uiPriority w:val="99"/>
    <w:rsid w:val="009500B2"/>
    <w:pPr>
      <w:autoSpaceDE w:val="0"/>
      <w:autoSpaceDN w:val="0"/>
    </w:pPr>
    <w:rPr>
      <w:rFonts w:eastAsiaTheme="minorHAnsi"/>
      <w:color w:val="000000"/>
      <w:lang w:eastAsia="en-GB"/>
    </w:rPr>
  </w:style>
  <w:style w:type="paragraph" w:customStyle="1" w:styleId="paragraph">
    <w:name w:val="paragraph"/>
    <w:basedOn w:val="Normal"/>
    <w:rsid w:val="00451536"/>
    <w:pPr>
      <w:spacing w:before="100" w:beforeAutospacing="1" w:after="100" w:afterAutospacing="1"/>
    </w:pPr>
    <w:rPr>
      <w:rFonts w:ascii="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gov.scot/publications/island-communities-impact-assessments-guidanc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A35279120</value>
    </field>
    <field name="Objective-Title">
      <value order="0">ICIA template Nov21</value>
    </field>
    <field name="Objective-Description">
      <value order="0"/>
    </field>
    <field name="Objective-CreationStamp">
      <value order="0">2021-11-08T10:01:29Z</value>
    </field>
    <field name="Objective-IsApproved">
      <value order="0">false</value>
    </field>
    <field name="Objective-IsPublished">
      <value order="0">true</value>
    </field>
    <field name="Objective-DatePublished">
      <value order="0">2021-11-10T17:32:35Z</value>
    </field>
    <field name="Objective-ModificationStamp">
      <value order="0">2021-11-10T17:32:35Z</value>
    </field>
    <field name="Objective-Owner">
      <value order="0">Walker, Greig G (U210440)</value>
    </field>
    <field name="Objective-Path">
      <value order="0">Objective Global Folder:SG File Plan:Government, politics and public administration:Constitution:Scottish Parliament:Advice and policy: Scottish Parliament:Coronavirus Recovery (Scotland) Bill: Impact assessments: 2021-2026</value>
    </field>
    <field name="Objective-Parent">
      <value order="0">Coronavirus Recovery (Scotland) Bill: Impact assessments: 2021-2026</value>
    </field>
    <field name="Objective-State">
      <value order="0">Published</value>
    </field>
    <field name="Objective-VersionId">
      <value order="0">vA52037488</value>
    </field>
    <field name="Objective-Version">
      <value order="0">1.0</value>
    </field>
    <field name="Objective-VersionNumber">
      <value order="0">2</value>
    </field>
    <field name="Objective-VersionComment">
      <value order="0"/>
    </field>
    <field name="Objective-FileNumber">
      <value order="0">PLEG/3407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1A17669F-CF65-4430-9711-6BB8F3576DC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Tinney D (Desmond)</dc:creator>
  <cp:keywords/>
  <dc:description/>
  <cp:lastModifiedBy>Hodge, Jonathan</cp:lastModifiedBy>
  <cp:revision>3</cp:revision>
  <dcterms:created xsi:type="dcterms:W3CDTF">2022-05-20T13:24:00Z</dcterms:created>
  <dcterms:modified xsi:type="dcterms:W3CDTF">2022-05-20T15:26:00Z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A35279120</vt:lpwstr>
  </property>
  <property fmtid="{D5CDD505-2E9C-101B-9397-08002B2CF9AE}" pid="4" name="Objective-Title">
    <vt:lpwstr>ICIA template Nov21</vt:lpwstr>
  </property>
  <property fmtid="{D5CDD505-2E9C-101B-9397-08002B2CF9AE}" pid="5" name="Objective-Description">
    <vt:lpwstr/>
  </property>
  <property fmtid="{D5CDD505-2E9C-101B-9397-08002B2CF9AE}" pid="6" name="Objective-CreationStamp">
    <vt:filetime>2021-11-08T10:01:36Z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2021-11-10T17:32:35Z</vt:filetime>
  </property>
  <property fmtid="{D5CDD505-2E9C-101B-9397-08002B2CF9AE}" pid="10" name="Objective-ModificationStamp">
    <vt:filetime>2021-11-10T17:32:35Z</vt:filetime>
  </property>
  <property fmtid="{D5CDD505-2E9C-101B-9397-08002B2CF9AE}" pid="11" name="Objective-Owner">
    <vt:lpwstr>Walker, Greig G (U210440)</vt:lpwstr>
  </property>
  <property fmtid="{D5CDD505-2E9C-101B-9397-08002B2CF9AE}" pid="12" name="Objective-Path">
    <vt:lpwstr>Objective Global Folder:SG File Plan:Government, politics and public administration:Constitution:Scottish Parliament:Advice and policy: Scottish Parliament:Coronavirus Recovery (Scotland) Bill: Impact assessments: 2021-2026:</vt:lpwstr>
  </property>
  <property fmtid="{D5CDD505-2E9C-101B-9397-08002B2CF9AE}" pid="13" name="Objective-Parent">
    <vt:lpwstr>Coronavirus Recovery (Scotland) Bill: Impact assessments: 2021-2026</vt:lpwstr>
  </property>
  <property fmtid="{D5CDD505-2E9C-101B-9397-08002B2CF9AE}" pid="14" name="Objective-State">
    <vt:lpwstr>Published</vt:lpwstr>
  </property>
  <property fmtid="{D5CDD505-2E9C-101B-9397-08002B2CF9AE}" pid="15" name="Objective-VersionId">
    <vt:lpwstr>vA52037488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PLEG/3407</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