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411FC" w14:textId="77777777" w:rsidR="00CD3C31" w:rsidRDefault="00CD3C31" w:rsidP="00CD3C31">
      <w:pPr>
        <w:tabs>
          <w:tab w:val="left" w:pos="720"/>
          <w:tab w:val="left" w:pos="1440"/>
          <w:tab w:val="left" w:pos="2880"/>
          <w:tab w:val="left" w:pos="6660"/>
        </w:tabs>
        <w:jc w:val="center"/>
        <w:rPr>
          <w:rFonts w:ascii="Arial" w:hAnsi="Arial" w:cs="Arial"/>
          <w:b/>
        </w:rPr>
      </w:pPr>
      <w:r w:rsidRPr="00697F23">
        <w:rPr>
          <w:rFonts w:ascii="Arial" w:hAnsi="Arial" w:cs="Arial"/>
          <w:b/>
        </w:rPr>
        <w:t>Registers of Scotland</w:t>
      </w:r>
    </w:p>
    <w:p w14:paraId="3642D16E" w14:textId="77777777" w:rsidR="00CD3C31" w:rsidRPr="00697F23" w:rsidRDefault="00CD3C31" w:rsidP="00CD3C31">
      <w:pPr>
        <w:tabs>
          <w:tab w:val="left" w:pos="720"/>
          <w:tab w:val="left" w:pos="1440"/>
          <w:tab w:val="left" w:pos="2880"/>
          <w:tab w:val="left" w:pos="6660"/>
        </w:tabs>
        <w:jc w:val="center"/>
        <w:rPr>
          <w:rFonts w:ascii="Arial" w:hAnsi="Arial" w:cs="Arial"/>
          <w:b/>
        </w:rPr>
      </w:pPr>
    </w:p>
    <w:p w14:paraId="3C693D7B" w14:textId="77777777" w:rsidR="00CD3C31" w:rsidRPr="00697F23" w:rsidRDefault="00CD3C31" w:rsidP="00CD3C31">
      <w:pPr>
        <w:jc w:val="center"/>
        <w:rPr>
          <w:rFonts w:ascii="Arial" w:hAnsi="Arial" w:cs="Arial"/>
          <w:b/>
        </w:rPr>
      </w:pPr>
      <w:r w:rsidRPr="00697F23">
        <w:rPr>
          <w:rFonts w:ascii="Arial" w:hAnsi="Arial" w:cs="Arial"/>
          <w:b/>
        </w:rPr>
        <w:t xml:space="preserve">RoS Board </w:t>
      </w:r>
    </w:p>
    <w:p w14:paraId="2C686D54" w14:textId="77777777" w:rsidR="00CD3C31" w:rsidRPr="00697F23" w:rsidRDefault="00CD3C31" w:rsidP="00CD3C31">
      <w:pPr>
        <w:jc w:val="center"/>
        <w:rPr>
          <w:rFonts w:ascii="Arial" w:hAnsi="Arial" w:cs="Arial"/>
          <w:b/>
        </w:rPr>
      </w:pPr>
    </w:p>
    <w:p w14:paraId="3D36FA98" w14:textId="072F77D3" w:rsidR="00CD3C31" w:rsidRPr="00697F23" w:rsidRDefault="4E85676B" w:rsidP="1B4EE6DC">
      <w:pPr>
        <w:jc w:val="center"/>
        <w:rPr>
          <w:rFonts w:ascii="Arial" w:hAnsi="Arial" w:cs="Arial"/>
          <w:b/>
          <w:bCs/>
        </w:rPr>
      </w:pPr>
      <w:r w:rsidRPr="1B4EE6DC">
        <w:rPr>
          <w:rFonts w:ascii="Arial" w:hAnsi="Arial" w:cs="Arial"/>
          <w:b/>
          <w:bCs/>
        </w:rPr>
        <w:t>14</w:t>
      </w:r>
      <w:r w:rsidRPr="1B4EE6DC">
        <w:rPr>
          <w:rFonts w:ascii="Arial" w:hAnsi="Arial" w:cs="Arial"/>
          <w:b/>
          <w:bCs/>
          <w:vertAlign w:val="superscript"/>
        </w:rPr>
        <w:t>th</w:t>
      </w:r>
      <w:r w:rsidRPr="1B4EE6DC">
        <w:rPr>
          <w:rFonts w:ascii="Arial" w:hAnsi="Arial" w:cs="Arial"/>
          <w:b/>
          <w:bCs/>
        </w:rPr>
        <w:t xml:space="preserve"> </w:t>
      </w:r>
      <w:r w:rsidR="00C00709" w:rsidRPr="1B4EE6DC">
        <w:rPr>
          <w:rFonts w:ascii="Arial" w:hAnsi="Arial" w:cs="Arial"/>
          <w:b/>
          <w:bCs/>
        </w:rPr>
        <w:t>December 2021</w:t>
      </w:r>
    </w:p>
    <w:p w14:paraId="43C031D4" w14:textId="77777777" w:rsidR="00E308F4" w:rsidRPr="000C435D" w:rsidRDefault="00E308F4" w:rsidP="00E308F4">
      <w:pPr>
        <w:jc w:val="center"/>
        <w:rPr>
          <w:rFonts w:ascii="Arial" w:hAnsi="Arial" w:cs="Arial"/>
          <w:b/>
        </w:rPr>
      </w:pPr>
    </w:p>
    <w:p w14:paraId="7C5BFE06" w14:textId="0CCC32FF" w:rsidR="00CD3C31" w:rsidRDefault="256B89F8" w:rsidP="7A69265D">
      <w:pPr>
        <w:jc w:val="center"/>
        <w:rPr>
          <w:rFonts w:ascii="Arial" w:hAnsi="Arial" w:cs="Arial"/>
          <w:b/>
          <w:bCs/>
        </w:rPr>
      </w:pPr>
      <w:r w:rsidRPr="7A69265D">
        <w:rPr>
          <w:rFonts w:ascii="Arial" w:hAnsi="Arial" w:cs="Arial"/>
          <w:b/>
          <w:bCs/>
        </w:rPr>
        <w:t xml:space="preserve">People &amp; Workspace </w:t>
      </w:r>
    </w:p>
    <w:p w14:paraId="3F447333" w14:textId="27EEDBC1" w:rsidR="00E308F4" w:rsidRPr="000C435D" w:rsidRDefault="62C0326D" w:rsidP="7A69265D">
      <w:pPr>
        <w:jc w:val="center"/>
        <w:rPr>
          <w:rFonts w:ascii="Arial" w:hAnsi="Arial" w:cs="Arial"/>
          <w:b/>
          <w:bCs/>
        </w:rPr>
      </w:pPr>
      <w:r w:rsidRPr="7A69265D">
        <w:rPr>
          <w:rFonts w:ascii="Arial" w:hAnsi="Arial" w:cs="Arial"/>
          <w:b/>
          <w:bCs/>
        </w:rPr>
        <w:t>Thr</w:t>
      </w:r>
      <w:r w:rsidR="785B2D55" w:rsidRPr="7A69265D">
        <w:rPr>
          <w:rFonts w:ascii="Arial" w:hAnsi="Arial" w:cs="Arial"/>
          <w:b/>
          <w:bCs/>
        </w:rPr>
        <w:t>e</w:t>
      </w:r>
      <w:r w:rsidRPr="7A69265D">
        <w:rPr>
          <w:rFonts w:ascii="Arial" w:hAnsi="Arial" w:cs="Arial"/>
          <w:b/>
          <w:bCs/>
        </w:rPr>
        <w:t xml:space="preserve">ats &amp; Opportunities </w:t>
      </w:r>
      <w:r w:rsidR="1DDEDA14" w:rsidRPr="7A69265D">
        <w:rPr>
          <w:rFonts w:ascii="Arial" w:hAnsi="Arial" w:cs="Arial"/>
          <w:b/>
          <w:bCs/>
        </w:rPr>
        <w:t>W</w:t>
      </w:r>
      <w:r w:rsidR="75CD3512" w:rsidRPr="7A69265D">
        <w:rPr>
          <w:rFonts w:ascii="Arial" w:hAnsi="Arial" w:cs="Arial"/>
          <w:b/>
          <w:bCs/>
        </w:rPr>
        <w:t xml:space="preserve">orkshop </w:t>
      </w:r>
      <w:r w:rsidR="117F2817" w:rsidRPr="7A69265D">
        <w:rPr>
          <w:rFonts w:ascii="Arial" w:hAnsi="Arial" w:cs="Arial"/>
          <w:b/>
          <w:bCs/>
        </w:rPr>
        <w:t>R</w:t>
      </w:r>
      <w:r w:rsidR="75CD3512" w:rsidRPr="7A69265D">
        <w:rPr>
          <w:rFonts w:ascii="Arial" w:hAnsi="Arial" w:cs="Arial"/>
          <w:b/>
          <w:bCs/>
        </w:rPr>
        <w:t>esponse</w:t>
      </w:r>
    </w:p>
    <w:p w14:paraId="4004358F" w14:textId="77777777" w:rsidR="00E308F4" w:rsidRPr="000C435D" w:rsidRDefault="00E308F4" w:rsidP="00E308F4">
      <w:pPr>
        <w:jc w:val="center"/>
        <w:rPr>
          <w:rFonts w:ascii="Arial" w:hAnsi="Arial" w:cs="Arial"/>
          <w:b/>
        </w:rPr>
      </w:pPr>
    </w:p>
    <w:p w14:paraId="533A064C" w14:textId="77777777" w:rsidR="003C26A4" w:rsidRDefault="003C26A4" w:rsidP="00E308F4">
      <w:pPr>
        <w:jc w:val="both"/>
        <w:rPr>
          <w:rFonts w:ascii="Arial" w:hAnsi="Arial" w:cs="Arial"/>
          <w:b/>
        </w:rPr>
      </w:pPr>
    </w:p>
    <w:p w14:paraId="74107DE1" w14:textId="77777777" w:rsidR="003C26A4" w:rsidRDefault="003C26A4" w:rsidP="00E308F4">
      <w:pPr>
        <w:jc w:val="both"/>
        <w:rPr>
          <w:rFonts w:ascii="Arial" w:hAnsi="Arial" w:cs="Arial"/>
          <w:b/>
        </w:rPr>
      </w:pPr>
    </w:p>
    <w:p w14:paraId="37BA0CA3" w14:textId="77777777" w:rsidR="00E308F4" w:rsidRDefault="00E308F4" w:rsidP="00E308F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Purpose</w:t>
      </w:r>
    </w:p>
    <w:p w14:paraId="0F0E995A" w14:textId="41F7BD52" w:rsidR="005D4F97" w:rsidRPr="001B0A8B" w:rsidRDefault="005D4F97" w:rsidP="001B0A8B">
      <w:pPr>
        <w:pStyle w:val="ListParagraph"/>
        <w:ind w:left="0"/>
        <w:jc w:val="both"/>
        <w:rPr>
          <w:rFonts w:ascii="Arial" w:hAnsi="Arial" w:cs="Arial"/>
        </w:rPr>
      </w:pPr>
    </w:p>
    <w:p w14:paraId="57DCA640" w14:textId="0FCE05CC" w:rsidR="00F73EA3" w:rsidRPr="0053220E" w:rsidRDefault="54023D22" w:rsidP="1B4EE6DC">
      <w:pPr>
        <w:numPr>
          <w:ilvl w:val="0"/>
          <w:numId w:val="3"/>
        </w:numPr>
        <w:ind w:left="0" w:firstLine="0"/>
        <w:jc w:val="both"/>
        <w:rPr>
          <w:rFonts w:ascii="Arial" w:hAnsi="Arial" w:cs="Arial"/>
          <w:b/>
          <w:bCs/>
        </w:rPr>
      </w:pPr>
      <w:r w:rsidRPr="7A69265D">
        <w:rPr>
          <w:rFonts w:ascii="Arial" w:hAnsi="Arial" w:cs="Arial"/>
        </w:rPr>
        <w:t>To pr</w:t>
      </w:r>
      <w:r w:rsidR="1C2B1C52" w:rsidRPr="7A69265D">
        <w:rPr>
          <w:rFonts w:ascii="Arial" w:hAnsi="Arial" w:cs="Arial"/>
        </w:rPr>
        <w:t>ovide</w:t>
      </w:r>
      <w:r w:rsidR="231ABE5C" w:rsidRPr="7A69265D">
        <w:rPr>
          <w:rFonts w:ascii="Arial" w:hAnsi="Arial" w:cs="Arial"/>
        </w:rPr>
        <w:t xml:space="preserve"> the RoS </w:t>
      </w:r>
      <w:r w:rsidR="51D32391" w:rsidRPr="7A69265D">
        <w:rPr>
          <w:rFonts w:ascii="Arial" w:hAnsi="Arial" w:cs="Arial"/>
        </w:rPr>
        <w:t>B</w:t>
      </w:r>
      <w:r w:rsidR="231ABE5C" w:rsidRPr="7A69265D">
        <w:rPr>
          <w:rFonts w:ascii="Arial" w:hAnsi="Arial" w:cs="Arial"/>
        </w:rPr>
        <w:t>oard</w:t>
      </w:r>
      <w:r w:rsidRPr="7A69265D">
        <w:rPr>
          <w:rFonts w:ascii="Arial" w:hAnsi="Arial" w:cs="Arial"/>
        </w:rPr>
        <w:t xml:space="preserve"> </w:t>
      </w:r>
      <w:r w:rsidR="51D32391" w:rsidRPr="7A69265D">
        <w:rPr>
          <w:rFonts w:ascii="Arial" w:hAnsi="Arial" w:cs="Arial"/>
        </w:rPr>
        <w:t xml:space="preserve">with </w:t>
      </w:r>
      <w:r w:rsidR="1C2B1C52" w:rsidRPr="7A69265D">
        <w:rPr>
          <w:rFonts w:ascii="Arial" w:hAnsi="Arial" w:cs="Arial"/>
        </w:rPr>
        <w:t>a paper detailing</w:t>
      </w:r>
      <w:r w:rsidRPr="7A69265D">
        <w:rPr>
          <w:rFonts w:ascii="Arial" w:hAnsi="Arial" w:cs="Arial"/>
        </w:rPr>
        <w:t xml:space="preserve"> the refined outputs from the </w:t>
      </w:r>
      <w:r w:rsidR="7586E78E" w:rsidRPr="7A69265D">
        <w:rPr>
          <w:rFonts w:ascii="Arial" w:hAnsi="Arial" w:cs="Arial"/>
        </w:rPr>
        <w:t xml:space="preserve">threats </w:t>
      </w:r>
      <w:r w:rsidR="608C50D4" w:rsidRPr="7A69265D">
        <w:rPr>
          <w:rFonts w:ascii="Arial" w:hAnsi="Arial" w:cs="Arial"/>
        </w:rPr>
        <w:t>and</w:t>
      </w:r>
      <w:r w:rsidR="7586E78E" w:rsidRPr="7A69265D">
        <w:rPr>
          <w:rFonts w:ascii="Arial" w:hAnsi="Arial" w:cs="Arial"/>
        </w:rPr>
        <w:t xml:space="preserve"> opportunities of hybrid working</w:t>
      </w:r>
      <w:r w:rsidRPr="7A69265D">
        <w:rPr>
          <w:rFonts w:ascii="Arial" w:hAnsi="Arial" w:cs="Arial"/>
        </w:rPr>
        <w:t xml:space="preserve"> and the assessment of each key threat and opportunity identified</w:t>
      </w:r>
      <w:r w:rsidR="5D6A2978" w:rsidRPr="7A69265D">
        <w:rPr>
          <w:rFonts w:ascii="Arial" w:hAnsi="Arial" w:cs="Arial"/>
        </w:rPr>
        <w:t xml:space="preserve"> </w:t>
      </w:r>
      <w:r w:rsidR="56FD1325" w:rsidRPr="7A69265D">
        <w:rPr>
          <w:rFonts w:ascii="Arial" w:hAnsi="Arial" w:cs="Arial"/>
        </w:rPr>
        <w:t>as part of</w:t>
      </w:r>
      <w:r w:rsidR="51D32391" w:rsidRPr="7A69265D">
        <w:rPr>
          <w:rFonts w:ascii="Arial" w:hAnsi="Arial" w:cs="Arial"/>
        </w:rPr>
        <w:t xml:space="preserve"> the board workshop on 15</w:t>
      </w:r>
      <w:r w:rsidR="51D32391" w:rsidRPr="7A69265D">
        <w:rPr>
          <w:rFonts w:ascii="Arial" w:hAnsi="Arial" w:cs="Arial"/>
          <w:vertAlign w:val="superscript"/>
        </w:rPr>
        <w:t>th</w:t>
      </w:r>
      <w:r w:rsidR="51D32391" w:rsidRPr="7A69265D">
        <w:rPr>
          <w:rFonts w:ascii="Arial" w:hAnsi="Arial" w:cs="Arial"/>
        </w:rPr>
        <w:t xml:space="preserve"> September</w:t>
      </w:r>
      <w:r w:rsidRPr="7A69265D">
        <w:rPr>
          <w:rFonts w:ascii="Arial" w:hAnsi="Arial" w:cs="Arial"/>
        </w:rPr>
        <w:t>.</w:t>
      </w:r>
    </w:p>
    <w:p w14:paraId="4B664182" w14:textId="63DA5B5E" w:rsidR="00E308F4" w:rsidRDefault="00E308F4" w:rsidP="00E308F4">
      <w:pPr>
        <w:jc w:val="both"/>
        <w:rPr>
          <w:rFonts w:ascii="Arial" w:hAnsi="Arial" w:cs="Arial"/>
          <w:b/>
        </w:rPr>
      </w:pPr>
    </w:p>
    <w:p w14:paraId="4AF00C53" w14:textId="77777777" w:rsidR="0088417F" w:rsidRDefault="0088417F" w:rsidP="00E308F4">
      <w:pPr>
        <w:jc w:val="both"/>
        <w:rPr>
          <w:rFonts w:ascii="Arial" w:hAnsi="Arial" w:cs="Arial"/>
          <w:b/>
        </w:rPr>
      </w:pPr>
    </w:p>
    <w:p w14:paraId="2CEBED32" w14:textId="77777777" w:rsidR="00E308F4" w:rsidRDefault="00E308F4" w:rsidP="00E308F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Recommendation and rationale</w:t>
      </w:r>
    </w:p>
    <w:p w14:paraId="5A060447" w14:textId="5C42BECC" w:rsidR="00E308F4" w:rsidRDefault="00E308F4" w:rsidP="00307713">
      <w:pPr>
        <w:jc w:val="both"/>
        <w:rPr>
          <w:rFonts w:ascii="Arial" w:hAnsi="Arial" w:cs="Arial"/>
          <w:b/>
        </w:rPr>
      </w:pPr>
    </w:p>
    <w:p w14:paraId="0B3622EE" w14:textId="75F2ED54" w:rsidR="00F73EA3" w:rsidRPr="00F73EA3" w:rsidRDefault="00F73EA3" w:rsidP="1B4EE6DC">
      <w:pPr>
        <w:pStyle w:val="ListParagraph"/>
        <w:numPr>
          <w:ilvl w:val="0"/>
          <w:numId w:val="3"/>
        </w:numPr>
        <w:ind w:left="0" w:firstLine="0"/>
        <w:jc w:val="both"/>
        <w:rPr>
          <w:rFonts w:ascii="Arial" w:hAnsi="Arial" w:cs="Arial"/>
          <w:b/>
          <w:bCs/>
        </w:rPr>
      </w:pPr>
      <w:r w:rsidRPr="1B4EE6DC">
        <w:rPr>
          <w:rFonts w:ascii="Arial" w:hAnsi="Arial" w:cs="Arial"/>
        </w:rPr>
        <w:t xml:space="preserve">The </w:t>
      </w:r>
      <w:r w:rsidR="009B2076" w:rsidRPr="1B4EE6DC">
        <w:rPr>
          <w:rFonts w:ascii="Arial" w:hAnsi="Arial" w:cs="Arial"/>
        </w:rPr>
        <w:t>board</w:t>
      </w:r>
      <w:r w:rsidRPr="1B4EE6DC">
        <w:rPr>
          <w:rFonts w:ascii="Arial" w:hAnsi="Arial" w:cs="Arial"/>
        </w:rPr>
        <w:t xml:space="preserve"> are asked to </w:t>
      </w:r>
      <w:r w:rsidR="2C733814" w:rsidRPr="1B4EE6DC">
        <w:rPr>
          <w:rFonts w:ascii="Arial" w:hAnsi="Arial" w:cs="Arial"/>
        </w:rPr>
        <w:t>note</w:t>
      </w:r>
      <w:r w:rsidRPr="1B4EE6DC">
        <w:rPr>
          <w:rFonts w:ascii="Arial" w:hAnsi="Arial" w:cs="Arial"/>
          <w:color w:val="000000" w:themeColor="text1"/>
        </w:rPr>
        <w:t xml:space="preserve"> the assessment of each key threat and opportunity to ensure they are content with the controls that are </w:t>
      </w:r>
      <w:r w:rsidR="0088417F" w:rsidRPr="1B4EE6DC">
        <w:rPr>
          <w:rFonts w:ascii="Arial" w:hAnsi="Arial" w:cs="Arial"/>
          <w:color w:val="000000" w:themeColor="text1"/>
        </w:rPr>
        <w:t>currently</w:t>
      </w:r>
      <w:r w:rsidRPr="1B4EE6DC">
        <w:rPr>
          <w:rFonts w:ascii="Arial" w:hAnsi="Arial" w:cs="Arial"/>
          <w:color w:val="000000" w:themeColor="text1"/>
        </w:rPr>
        <w:t xml:space="preserve"> in place.</w:t>
      </w:r>
    </w:p>
    <w:p w14:paraId="3EC25598" w14:textId="77777777" w:rsidR="00F73EA3" w:rsidRPr="00F73EA3" w:rsidRDefault="00F73EA3" w:rsidP="00F73EA3">
      <w:pPr>
        <w:pStyle w:val="ListParagraph"/>
        <w:ind w:left="0"/>
        <w:jc w:val="both"/>
        <w:rPr>
          <w:rFonts w:ascii="Arial" w:hAnsi="Arial" w:cs="Arial"/>
          <w:b/>
        </w:rPr>
      </w:pPr>
    </w:p>
    <w:p w14:paraId="5033C585" w14:textId="084328F8" w:rsidR="00307713" w:rsidRPr="00007232" w:rsidRDefault="63ED17FF" w:rsidP="7A69265D">
      <w:pPr>
        <w:pStyle w:val="ListParagraph"/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r w:rsidRPr="7A69265D">
        <w:rPr>
          <w:rFonts w:ascii="Arial" w:hAnsi="Arial" w:cs="Arial"/>
        </w:rPr>
        <w:t xml:space="preserve">The </w:t>
      </w:r>
      <w:r w:rsidR="231ABE5C" w:rsidRPr="7A69265D">
        <w:rPr>
          <w:rFonts w:ascii="Arial" w:hAnsi="Arial" w:cs="Arial"/>
        </w:rPr>
        <w:t>board</w:t>
      </w:r>
      <w:r w:rsidRPr="7A69265D">
        <w:rPr>
          <w:rFonts w:ascii="Arial" w:hAnsi="Arial" w:cs="Arial"/>
        </w:rPr>
        <w:t xml:space="preserve"> are asked to </w:t>
      </w:r>
      <w:r w:rsidR="7C7C2D91" w:rsidRPr="7A69265D">
        <w:rPr>
          <w:rFonts w:ascii="Arial" w:hAnsi="Arial" w:cs="Arial"/>
        </w:rPr>
        <w:t>note</w:t>
      </w:r>
      <w:r w:rsidRPr="7A69265D">
        <w:rPr>
          <w:rFonts w:ascii="Arial" w:hAnsi="Arial" w:cs="Arial"/>
        </w:rPr>
        <w:t xml:space="preserve"> the </w:t>
      </w:r>
      <w:r w:rsidR="256B89F8" w:rsidRPr="7A69265D">
        <w:rPr>
          <w:rFonts w:ascii="Arial" w:hAnsi="Arial" w:cs="Arial"/>
        </w:rPr>
        <w:t>recommendation</w:t>
      </w:r>
      <w:r w:rsidR="54023D22" w:rsidRPr="7A69265D">
        <w:rPr>
          <w:rFonts w:ascii="Arial" w:hAnsi="Arial" w:cs="Arial"/>
        </w:rPr>
        <w:t xml:space="preserve"> that on current reflection hybrid working does not warrant a key</w:t>
      </w:r>
      <w:r w:rsidR="6422B109" w:rsidRPr="7A69265D">
        <w:rPr>
          <w:rFonts w:ascii="Arial" w:hAnsi="Arial" w:cs="Arial"/>
        </w:rPr>
        <w:t xml:space="preserve"> corporate level</w:t>
      </w:r>
      <w:r w:rsidR="54023D22" w:rsidRPr="7A69265D">
        <w:rPr>
          <w:rFonts w:ascii="Arial" w:hAnsi="Arial" w:cs="Arial"/>
        </w:rPr>
        <w:t xml:space="preserve"> risk explicitly </w:t>
      </w:r>
      <w:r w:rsidR="6422B109" w:rsidRPr="7A69265D">
        <w:rPr>
          <w:rFonts w:ascii="Arial" w:hAnsi="Arial" w:cs="Arial"/>
        </w:rPr>
        <w:t xml:space="preserve">of its </w:t>
      </w:r>
      <w:r w:rsidR="54023D22" w:rsidRPr="7A69265D">
        <w:rPr>
          <w:rFonts w:ascii="Arial" w:hAnsi="Arial" w:cs="Arial"/>
        </w:rPr>
        <w:t>own.</w:t>
      </w:r>
    </w:p>
    <w:p w14:paraId="54BE6A08" w14:textId="45A63D03" w:rsidR="00007232" w:rsidRPr="001B0A8B" w:rsidRDefault="00007232" w:rsidP="001B0A8B">
      <w:pPr>
        <w:pStyle w:val="ListParagraph"/>
        <w:ind w:left="0"/>
        <w:jc w:val="both"/>
        <w:rPr>
          <w:rFonts w:ascii="Arial" w:hAnsi="Arial" w:cs="Arial"/>
          <w:b/>
        </w:rPr>
      </w:pPr>
    </w:p>
    <w:p w14:paraId="46CA2A1D" w14:textId="1B4C8BC9" w:rsidR="00007232" w:rsidRPr="00007232" w:rsidRDefault="00007232" w:rsidP="000072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Background</w:t>
      </w:r>
    </w:p>
    <w:p w14:paraId="7DE4451B" w14:textId="77777777" w:rsidR="00007232" w:rsidRPr="00007232" w:rsidRDefault="00007232" w:rsidP="00007232">
      <w:pPr>
        <w:pStyle w:val="ListParagraph"/>
        <w:rPr>
          <w:rFonts w:ascii="Arial" w:hAnsi="Arial" w:cs="Arial"/>
          <w:b/>
        </w:rPr>
      </w:pPr>
    </w:p>
    <w:p w14:paraId="66DA10BC" w14:textId="19089656" w:rsidR="00E30A3B" w:rsidRDefault="00E30A3B" w:rsidP="00E30A3B">
      <w:pPr>
        <w:pStyle w:val="ListParagraph"/>
        <w:numPr>
          <w:ilvl w:val="0"/>
          <w:numId w:val="3"/>
        </w:numPr>
        <w:ind w:left="0" w:firstLine="0"/>
        <w:jc w:val="both"/>
        <w:rPr>
          <w:rFonts w:ascii="Arial" w:hAnsi="Arial" w:cs="Arial"/>
          <w:bCs/>
        </w:rPr>
      </w:pPr>
      <w:r w:rsidRPr="00E30A3B">
        <w:rPr>
          <w:rFonts w:ascii="Arial" w:hAnsi="Arial" w:cs="Arial"/>
          <w:bCs/>
        </w:rPr>
        <w:t xml:space="preserve">The </w:t>
      </w:r>
      <w:r w:rsidR="001B0A8B">
        <w:rPr>
          <w:rFonts w:ascii="Arial" w:hAnsi="Arial" w:cs="Arial"/>
          <w:bCs/>
        </w:rPr>
        <w:t>People &amp; Workspace</w:t>
      </w:r>
      <w:r w:rsidR="00B2340F">
        <w:rPr>
          <w:rFonts w:ascii="Arial" w:hAnsi="Arial" w:cs="Arial"/>
          <w:bCs/>
        </w:rPr>
        <w:t xml:space="preserve"> </w:t>
      </w:r>
      <w:r w:rsidRPr="00E30A3B">
        <w:rPr>
          <w:rFonts w:ascii="Arial" w:hAnsi="Arial" w:cs="Arial"/>
          <w:bCs/>
        </w:rPr>
        <w:t xml:space="preserve">project </w:t>
      </w:r>
      <w:r w:rsidR="00026352">
        <w:rPr>
          <w:rFonts w:ascii="Arial" w:hAnsi="Arial" w:cs="Arial"/>
          <w:bCs/>
        </w:rPr>
        <w:t>provided a</w:t>
      </w:r>
      <w:r w:rsidR="0088417F">
        <w:rPr>
          <w:rFonts w:ascii="Arial" w:hAnsi="Arial" w:cs="Arial"/>
          <w:bCs/>
        </w:rPr>
        <w:t xml:space="preserve"> progress </w:t>
      </w:r>
      <w:r w:rsidR="00026352">
        <w:rPr>
          <w:rFonts w:ascii="Arial" w:hAnsi="Arial" w:cs="Arial"/>
          <w:bCs/>
        </w:rPr>
        <w:t xml:space="preserve">update to the RoS </w:t>
      </w:r>
      <w:r w:rsidR="0063204E">
        <w:rPr>
          <w:rFonts w:ascii="Arial" w:hAnsi="Arial" w:cs="Arial"/>
          <w:bCs/>
        </w:rPr>
        <w:t>B</w:t>
      </w:r>
      <w:r w:rsidR="00026352">
        <w:rPr>
          <w:rFonts w:ascii="Arial" w:hAnsi="Arial" w:cs="Arial"/>
          <w:bCs/>
        </w:rPr>
        <w:t xml:space="preserve">oard </w:t>
      </w:r>
      <w:r w:rsidR="0088417F">
        <w:rPr>
          <w:rFonts w:ascii="Arial" w:hAnsi="Arial" w:cs="Arial"/>
          <w:bCs/>
        </w:rPr>
        <w:t>on 15</w:t>
      </w:r>
      <w:r w:rsidR="0088417F" w:rsidRPr="0088417F">
        <w:rPr>
          <w:rFonts w:ascii="Arial" w:hAnsi="Arial" w:cs="Arial"/>
          <w:bCs/>
          <w:vertAlign w:val="superscript"/>
        </w:rPr>
        <w:t>th</w:t>
      </w:r>
      <w:r w:rsidR="0088417F">
        <w:rPr>
          <w:rFonts w:ascii="Arial" w:hAnsi="Arial" w:cs="Arial"/>
          <w:bCs/>
        </w:rPr>
        <w:t xml:space="preserve"> </w:t>
      </w:r>
      <w:r w:rsidR="00026352">
        <w:rPr>
          <w:rFonts w:ascii="Arial" w:hAnsi="Arial" w:cs="Arial"/>
          <w:bCs/>
        </w:rPr>
        <w:t>September.</w:t>
      </w:r>
      <w:r w:rsidRPr="00E30A3B">
        <w:rPr>
          <w:rFonts w:ascii="Arial" w:hAnsi="Arial" w:cs="Arial"/>
          <w:bCs/>
        </w:rPr>
        <w:t xml:space="preserve"> </w:t>
      </w:r>
    </w:p>
    <w:p w14:paraId="2301161F" w14:textId="77777777" w:rsidR="003A516A" w:rsidRDefault="003A516A" w:rsidP="003A516A">
      <w:pPr>
        <w:pStyle w:val="ListParagraph"/>
        <w:ind w:left="0"/>
        <w:jc w:val="both"/>
        <w:rPr>
          <w:rFonts w:ascii="Arial" w:hAnsi="Arial" w:cs="Arial"/>
          <w:bCs/>
        </w:rPr>
      </w:pPr>
    </w:p>
    <w:p w14:paraId="1D2AB9EA" w14:textId="0924F22E" w:rsidR="0012363B" w:rsidRDefault="434F9288" w:rsidP="7A69265D">
      <w:pPr>
        <w:pStyle w:val="ListParagraph"/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r w:rsidRPr="7A69265D">
        <w:rPr>
          <w:rFonts w:ascii="Arial" w:hAnsi="Arial" w:cs="Arial"/>
        </w:rPr>
        <w:t>T</w:t>
      </w:r>
      <w:r w:rsidR="679E34F9" w:rsidRPr="7A69265D">
        <w:rPr>
          <w:rFonts w:ascii="Arial" w:hAnsi="Arial" w:cs="Arial"/>
        </w:rPr>
        <w:t>he project update</w:t>
      </w:r>
      <w:r w:rsidR="5CD0447E" w:rsidRPr="7A69265D">
        <w:rPr>
          <w:rFonts w:ascii="Arial" w:hAnsi="Arial" w:cs="Arial"/>
        </w:rPr>
        <w:t xml:space="preserve"> </w:t>
      </w:r>
      <w:r w:rsidRPr="7A69265D">
        <w:rPr>
          <w:rFonts w:ascii="Arial" w:hAnsi="Arial" w:cs="Arial"/>
        </w:rPr>
        <w:t>included</w:t>
      </w:r>
      <w:r w:rsidR="679E34F9" w:rsidRPr="7A69265D">
        <w:rPr>
          <w:rFonts w:ascii="Arial" w:hAnsi="Arial" w:cs="Arial"/>
        </w:rPr>
        <w:t xml:space="preserve"> t</w:t>
      </w:r>
      <w:r w:rsidR="5CD0447E" w:rsidRPr="7A69265D">
        <w:rPr>
          <w:rFonts w:ascii="Arial" w:hAnsi="Arial" w:cs="Arial"/>
        </w:rPr>
        <w:t>wo</w:t>
      </w:r>
      <w:r w:rsidR="679E34F9" w:rsidRPr="7A69265D">
        <w:rPr>
          <w:rFonts w:ascii="Arial" w:hAnsi="Arial" w:cs="Arial"/>
        </w:rPr>
        <w:t xml:space="preserve"> questions</w:t>
      </w:r>
      <w:r w:rsidR="5CD0447E" w:rsidRPr="7A69265D">
        <w:rPr>
          <w:rFonts w:ascii="Arial" w:hAnsi="Arial" w:cs="Arial"/>
        </w:rPr>
        <w:t xml:space="preserve"> </w:t>
      </w:r>
      <w:r w:rsidR="679E34F9" w:rsidRPr="7A69265D">
        <w:rPr>
          <w:rFonts w:ascii="Arial" w:hAnsi="Arial" w:cs="Arial"/>
        </w:rPr>
        <w:t>posed</w:t>
      </w:r>
      <w:r w:rsidR="5CD0447E" w:rsidRPr="7A69265D">
        <w:rPr>
          <w:rFonts w:ascii="Arial" w:hAnsi="Arial" w:cs="Arial"/>
        </w:rPr>
        <w:t xml:space="preserve"> to board members</w:t>
      </w:r>
      <w:r w:rsidR="38F08EBC" w:rsidRPr="7A69265D">
        <w:rPr>
          <w:rFonts w:ascii="Arial" w:hAnsi="Arial" w:cs="Arial"/>
        </w:rPr>
        <w:t>.</w:t>
      </w:r>
      <w:r w:rsidR="05105CC1" w:rsidRPr="7A69265D">
        <w:rPr>
          <w:rFonts w:ascii="Arial" w:hAnsi="Arial" w:cs="Arial"/>
        </w:rPr>
        <w:t xml:space="preserve"> (see below)</w:t>
      </w:r>
      <w:r w:rsidR="12195EBD" w:rsidRPr="7A69265D">
        <w:rPr>
          <w:rFonts w:ascii="Arial" w:hAnsi="Arial" w:cs="Arial"/>
        </w:rPr>
        <w:t xml:space="preserve"> T</w:t>
      </w:r>
      <w:r w:rsidR="679E34F9" w:rsidRPr="7A69265D">
        <w:rPr>
          <w:rFonts w:ascii="Arial" w:hAnsi="Arial" w:cs="Arial"/>
        </w:rPr>
        <w:t xml:space="preserve">hese were </w:t>
      </w:r>
      <w:r w:rsidRPr="7A69265D">
        <w:rPr>
          <w:rFonts w:ascii="Arial" w:hAnsi="Arial" w:cs="Arial"/>
        </w:rPr>
        <w:t>addressed</w:t>
      </w:r>
      <w:r w:rsidR="679E34F9" w:rsidRPr="7A69265D">
        <w:rPr>
          <w:rFonts w:ascii="Arial" w:hAnsi="Arial" w:cs="Arial"/>
        </w:rPr>
        <w:t xml:space="preserve"> </w:t>
      </w:r>
      <w:r w:rsidRPr="7A69265D">
        <w:rPr>
          <w:rFonts w:ascii="Arial" w:hAnsi="Arial" w:cs="Arial"/>
        </w:rPr>
        <w:t>through a</w:t>
      </w:r>
      <w:r w:rsidR="679E34F9" w:rsidRPr="7A69265D">
        <w:rPr>
          <w:rFonts w:ascii="Arial" w:hAnsi="Arial" w:cs="Arial"/>
        </w:rPr>
        <w:t xml:space="preserve"> workshop exercise.</w:t>
      </w:r>
    </w:p>
    <w:p w14:paraId="6A7597C5" w14:textId="77777777" w:rsidR="009B2076" w:rsidRDefault="009B2076" w:rsidP="009B2076">
      <w:pPr>
        <w:pStyle w:val="ListParagraph"/>
        <w:ind w:left="0"/>
        <w:jc w:val="both"/>
        <w:rPr>
          <w:rFonts w:ascii="Arial" w:hAnsi="Arial" w:cs="Arial"/>
          <w:bCs/>
        </w:rPr>
      </w:pPr>
    </w:p>
    <w:p w14:paraId="65462CE9" w14:textId="6E026198" w:rsidR="0012363B" w:rsidRPr="003A516A" w:rsidRDefault="0012363B" w:rsidP="0012363B">
      <w:pPr>
        <w:pStyle w:val="ListParagraph"/>
        <w:ind w:left="0"/>
        <w:jc w:val="both"/>
        <w:rPr>
          <w:rFonts w:ascii="Arial" w:hAnsi="Arial" w:cs="Arial"/>
          <w:bCs/>
          <w:i/>
          <w:iCs/>
        </w:rPr>
      </w:pPr>
      <w:r w:rsidRPr="003A516A">
        <w:rPr>
          <w:rFonts w:ascii="Arial" w:hAnsi="Arial" w:cs="Arial"/>
          <w:b/>
          <w:i/>
          <w:iCs/>
        </w:rPr>
        <w:t>Question 1:  Based on the</w:t>
      </w:r>
      <w:r w:rsidR="003A516A" w:rsidRPr="003A516A">
        <w:rPr>
          <w:rFonts w:ascii="Arial" w:hAnsi="Arial" w:cs="Arial"/>
          <w:b/>
          <w:i/>
          <w:iCs/>
        </w:rPr>
        <w:t xml:space="preserve"> project</w:t>
      </w:r>
      <w:r w:rsidRPr="003A516A">
        <w:rPr>
          <w:rFonts w:ascii="Arial" w:hAnsi="Arial" w:cs="Arial"/>
          <w:b/>
          <w:i/>
          <w:iCs/>
        </w:rPr>
        <w:t xml:space="preserve"> design principles and delivery of hybrid working, what do the board see as the top 3 key risks and opportunities as we move towards a hybrid workforce in RoS?</w:t>
      </w:r>
    </w:p>
    <w:p w14:paraId="5035C667" w14:textId="77777777" w:rsidR="0012363B" w:rsidRPr="003A516A" w:rsidRDefault="0012363B" w:rsidP="0012363B">
      <w:pPr>
        <w:jc w:val="both"/>
        <w:rPr>
          <w:rFonts w:ascii="Arial" w:hAnsi="Arial" w:cs="Arial"/>
          <w:b/>
          <w:i/>
          <w:iCs/>
        </w:rPr>
      </w:pPr>
      <w:r w:rsidRPr="003A516A">
        <w:rPr>
          <w:rFonts w:ascii="Arial" w:hAnsi="Arial" w:cs="Arial"/>
          <w:b/>
          <w:i/>
          <w:iCs/>
        </w:rPr>
        <w:t> </w:t>
      </w:r>
    </w:p>
    <w:p w14:paraId="7C08C97A" w14:textId="16BBAC56" w:rsidR="0012363B" w:rsidRPr="003A516A" w:rsidRDefault="0012363B" w:rsidP="0012363B">
      <w:pPr>
        <w:jc w:val="both"/>
        <w:rPr>
          <w:rFonts w:ascii="Arial" w:hAnsi="Arial" w:cs="Arial"/>
          <w:b/>
          <w:i/>
          <w:iCs/>
        </w:rPr>
      </w:pPr>
      <w:r w:rsidRPr="003A516A">
        <w:rPr>
          <w:rFonts w:ascii="Arial" w:hAnsi="Arial" w:cs="Arial"/>
          <w:b/>
          <w:i/>
          <w:iCs/>
        </w:rPr>
        <w:t>Question 2:  How do we best mitigate these potential priority key risks identified and realise the key opportunities that may arise?</w:t>
      </w:r>
    </w:p>
    <w:p w14:paraId="38CF2560" w14:textId="77777777" w:rsidR="003A516A" w:rsidRPr="0012363B" w:rsidRDefault="003A516A" w:rsidP="0012363B">
      <w:pPr>
        <w:jc w:val="both"/>
        <w:rPr>
          <w:rFonts w:ascii="Arial" w:hAnsi="Arial" w:cs="Arial"/>
          <w:b/>
        </w:rPr>
      </w:pPr>
    </w:p>
    <w:p w14:paraId="1E7C7BEC" w14:textId="15644122" w:rsidR="00913A34" w:rsidRPr="00E87E9F" w:rsidRDefault="00913A34" w:rsidP="00913A34">
      <w:pPr>
        <w:pStyle w:val="ListParagraph"/>
        <w:numPr>
          <w:ilvl w:val="0"/>
          <w:numId w:val="3"/>
        </w:numPr>
        <w:ind w:left="0" w:firstLine="0"/>
        <w:jc w:val="both"/>
        <w:rPr>
          <w:rFonts w:ascii="Arial" w:hAnsi="Arial" w:cs="Arial"/>
          <w:bCs/>
        </w:rPr>
      </w:pPr>
      <w:r w:rsidRPr="00E87E9F">
        <w:rPr>
          <w:rFonts w:ascii="Arial" w:hAnsi="Arial" w:cs="Arial"/>
          <w:bCs/>
        </w:rPr>
        <w:t xml:space="preserve">The </w:t>
      </w:r>
      <w:r w:rsidRPr="00E87E9F">
        <w:rPr>
          <w:rFonts w:ascii="Arial" w:hAnsi="Arial" w:cs="Arial"/>
        </w:rPr>
        <w:t>board members</w:t>
      </w:r>
      <w:r w:rsidR="00E87E9F" w:rsidRPr="00E87E9F">
        <w:rPr>
          <w:rFonts w:ascii="Arial" w:hAnsi="Arial" w:cs="Arial"/>
        </w:rPr>
        <w:t xml:space="preserve"> were split </w:t>
      </w:r>
      <w:r w:rsidRPr="00E87E9F">
        <w:rPr>
          <w:rFonts w:ascii="Arial" w:hAnsi="Arial" w:cs="Arial"/>
        </w:rPr>
        <w:t xml:space="preserve">into two groups </w:t>
      </w:r>
      <w:r w:rsidR="00E87E9F" w:rsidRPr="00E87E9F">
        <w:rPr>
          <w:rFonts w:ascii="Arial" w:hAnsi="Arial" w:cs="Arial"/>
        </w:rPr>
        <w:t xml:space="preserve">to </w:t>
      </w:r>
      <w:r w:rsidRPr="00E87E9F">
        <w:rPr>
          <w:rFonts w:ascii="Arial" w:hAnsi="Arial" w:cs="Arial"/>
        </w:rPr>
        <w:t>assess the threats &amp; the opportunities</w:t>
      </w:r>
      <w:r w:rsidR="00E87E9F" w:rsidRPr="00E87E9F">
        <w:rPr>
          <w:rFonts w:ascii="Arial" w:hAnsi="Arial" w:cs="Arial"/>
        </w:rPr>
        <w:t xml:space="preserve"> then playback to the full board to agree as a collective group. </w:t>
      </w:r>
      <w:r w:rsidR="00E87E9F">
        <w:rPr>
          <w:rFonts w:ascii="Arial" w:hAnsi="Arial" w:cs="Arial"/>
        </w:rPr>
        <w:t xml:space="preserve"> The outputs of the workshop are under Annex A.</w:t>
      </w:r>
    </w:p>
    <w:p w14:paraId="0C2743F1" w14:textId="77777777" w:rsidR="001E62AD" w:rsidRDefault="001E62AD" w:rsidP="00E629D8">
      <w:pPr>
        <w:jc w:val="both"/>
        <w:rPr>
          <w:rFonts w:ascii="Arial" w:hAnsi="Arial" w:cs="Arial"/>
          <w:b/>
          <w:color w:val="FF0000"/>
        </w:rPr>
      </w:pPr>
    </w:p>
    <w:p w14:paraId="4EACC875" w14:textId="3359EA90" w:rsidR="00E629D8" w:rsidRPr="00E87E9F" w:rsidRDefault="00026352" w:rsidP="087EB417">
      <w:pPr>
        <w:pStyle w:val="ListParagraph"/>
        <w:numPr>
          <w:ilvl w:val="0"/>
          <w:numId w:val="3"/>
        </w:numPr>
        <w:ind w:left="0" w:firstLine="0"/>
        <w:jc w:val="both"/>
        <w:rPr>
          <w:rFonts w:ascii="Arial" w:hAnsi="Arial" w:cs="Arial"/>
          <w:b/>
          <w:bCs/>
        </w:rPr>
      </w:pPr>
      <w:r w:rsidRPr="087EB417">
        <w:rPr>
          <w:rFonts w:ascii="Arial" w:eastAsiaTheme="minorEastAsia" w:hAnsi="Arial" w:cs="Arial"/>
          <w:color w:val="000000" w:themeColor="text1"/>
          <w:lang w:eastAsia="en-US"/>
        </w:rPr>
        <w:t xml:space="preserve">The </w:t>
      </w:r>
      <w:r w:rsidR="00913A34" w:rsidRPr="087EB417">
        <w:rPr>
          <w:rFonts w:ascii="Arial" w:eastAsiaTheme="minorEastAsia" w:hAnsi="Arial" w:cs="Arial"/>
          <w:color w:val="000000" w:themeColor="text1"/>
          <w:lang w:eastAsia="en-US"/>
        </w:rPr>
        <w:t>key threats</w:t>
      </w:r>
      <w:r w:rsidR="00DD6840" w:rsidRPr="087EB417">
        <w:rPr>
          <w:rFonts w:ascii="Arial" w:eastAsiaTheme="minorEastAsia" w:hAnsi="Arial" w:cs="Arial"/>
          <w:color w:val="000000" w:themeColor="text1"/>
          <w:lang w:eastAsia="en-US"/>
        </w:rPr>
        <w:t xml:space="preserve"> and opportunities</w:t>
      </w:r>
      <w:r w:rsidR="00913A34" w:rsidRPr="087EB417">
        <w:rPr>
          <w:rFonts w:ascii="Arial" w:eastAsiaTheme="minorEastAsia" w:hAnsi="Arial" w:cs="Arial"/>
          <w:color w:val="000000" w:themeColor="text1"/>
          <w:lang w:eastAsia="en-US"/>
        </w:rPr>
        <w:t xml:space="preserve"> identified have been assessed by the project manager of People &amp; Workspace</w:t>
      </w:r>
      <w:r w:rsidR="00FC2E03" w:rsidRPr="087EB417">
        <w:rPr>
          <w:rFonts w:ascii="Arial" w:eastAsiaTheme="minorEastAsia" w:hAnsi="Arial" w:cs="Arial"/>
          <w:color w:val="000000" w:themeColor="text1"/>
          <w:lang w:eastAsia="en-US"/>
        </w:rPr>
        <w:t xml:space="preserve"> and the </w:t>
      </w:r>
      <w:r w:rsidR="00913A34" w:rsidRPr="087EB417">
        <w:rPr>
          <w:rFonts w:ascii="Arial" w:eastAsiaTheme="minorEastAsia" w:hAnsi="Arial" w:cs="Arial"/>
          <w:color w:val="000000" w:themeColor="text1"/>
          <w:lang w:eastAsia="en-US"/>
        </w:rPr>
        <w:t xml:space="preserve">Head of </w:t>
      </w:r>
      <w:r w:rsidR="00FC2E03" w:rsidRPr="087EB417">
        <w:rPr>
          <w:rFonts w:ascii="Arial" w:eastAsiaTheme="minorEastAsia" w:hAnsi="Arial" w:cs="Arial"/>
          <w:color w:val="000000" w:themeColor="text1"/>
          <w:lang w:eastAsia="en-US"/>
        </w:rPr>
        <w:t xml:space="preserve">Enterprise </w:t>
      </w:r>
      <w:r w:rsidR="00913A34" w:rsidRPr="087EB417">
        <w:rPr>
          <w:rFonts w:ascii="Arial" w:eastAsiaTheme="minorEastAsia" w:hAnsi="Arial" w:cs="Arial"/>
          <w:color w:val="000000" w:themeColor="text1"/>
          <w:lang w:eastAsia="en-US"/>
        </w:rPr>
        <w:t>Risk</w:t>
      </w:r>
      <w:r w:rsidR="002D3AEF" w:rsidRPr="087EB417">
        <w:rPr>
          <w:rFonts w:ascii="Arial" w:eastAsiaTheme="minorEastAsia" w:hAnsi="Arial" w:cs="Arial"/>
          <w:color w:val="000000" w:themeColor="text1"/>
          <w:lang w:eastAsia="en-US"/>
        </w:rPr>
        <w:t>.</w:t>
      </w:r>
      <w:r w:rsidR="21CCFFC6" w:rsidRPr="087EB417">
        <w:rPr>
          <w:rFonts w:ascii="Arial" w:eastAsiaTheme="minorEastAsia" w:hAnsi="Arial" w:cs="Arial"/>
          <w:color w:val="000000" w:themeColor="text1"/>
          <w:lang w:eastAsia="en-US"/>
        </w:rPr>
        <w:t xml:space="preserve"> The outputs from the workshop have been cross referenced with the </w:t>
      </w:r>
      <w:r w:rsidR="10136287" w:rsidRPr="087EB417">
        <w:rPr>
          <w:rFonts w:ascii="Arial" w:eastAsiaTheme="minorEastAsia" w:hAnsi="Arial" w:cs="Arial"/>
          <w:color w:val="000000" w:themeColor="text1"/>
          <w:lang w:eastAsia="en-US"/>
        </w:rPr>
        <w:t>k</w:t>
      </w:r>
      <w:r w:rsidR="21CCFFC6" w:rsidRPr="087EB417">
        <w:rPr>
          <w:rFonts w:ascii="Arial" w:eastAsiaTheme="minorEastAsia" w:hAnsi="Arial" w:cs="Arial"/>
          <w:color w:val="000000" w:themeColor="text1"/>
          <w:lang w:eastAsia="en-US"/>
        </w:rPr>
        <w:t xml:space="preserve">ey </w:t>
      </w:r>
      <w:r w:rsidR="0CED51D9" w:rsidRPr="087EB417">
        <w:rPr>
          <w:rFonts w:ascii="Arial" w:eastAsiaTheme="minorEastAsia" w:hAnsi="Arial" w:cs="Arial"/>
          <w:color w:val="000000" w:themeColor="text1"/>
          <w:lang w:eastAsia="en-US"/>
        </w:rPr>
        <w:t>r</w:t>
      </w:r>
      <w:r w:rsidR="21CCFFC6" w:rsidRPr="087EB417">
        <w:rPr>
          <w:rFonts w:ascii="Arial" w:eastAsiaTheme="minorEastAsia" w:hAnsi="Arial" w:cs="Arial"/>
          <w:color w:val="000000" w:themeColor="text1"/>
          <w:lang w:eastAsia="en-US"/>
        </w:rPr>
        <w:t xml:space="preserve">isk </w:t>
      </w:r>
      <w:r w:rsidR="3EAD04D2" w:rsidRPr="087EB417">
        <w:rPr>
          <w:rFonts w:ascii="Arial" w:eastAsiaTheme="minorEastAsia" w:hAnsi="Arial" w:cs="Arial"/>
          <w:color w:val="000000" w:themeColor="text1"/>
          <w:lang w:eastAsia="en-US"/>
        </w:rPr>
        <w:t>r</w:t>
      </w:r>
      <w:r w:rsidR="21CCFFC6" w:rsidRPr="087EB417">
        <w:rPr>
          <w:rFonts w:ascii="Arial" w:eastAsiaTheme="minorEastAsia" w:hAnsi="Arial" w:cs="Arial"/>
          <w:color w:val="000000" w:themeColor="text1"/>
          <w:lang w:eastAsia="en-US"/>
        </w:rPr>
        <w:t>egister</w:t>
      </w:r>
      <w:r w:rsidR="1A323991" w:rsidRPr="087EB417">
        <w:rPr>
          <w:rFonts w:ascii="Arial" w:eastAsiaTheme="minorEastAsia" w:hAnsi="Arial" w:cs="Arial"/>
          <w:color w:val="000000" w:themeColor="text1"/>
          <w:lang w:eastAsia="en-US"/>
        </w:rPr>
        <w:t xml:space="preserve"> (KRR)</w:t>
      </w:r>
      <w:r w:rsidR="21CCFFC6" w:rsidRPr="087EB417">
        <w:rPr>
          <w:rFonts w:ascii="Arial" w:eastAsiaTheme="minorEastAsia" w:hAnsi="Arial" w:cs="Arial"/>
          <w:color w:val="000000" w:themeColor="text1"/>
          <w:lang w:eastAsia="en-US"/>
        </w:rPr>
        <w:t xml:space="preserve"> and </w:t>
      </w:r>
      <w:r w:rsidR="507B8289" w:rsidRPr="087EB417">
        <w:rPr>
          <w:rFonts w:ascii="Arial" w:eastAsiaTheme="minorEastAsia" w:hAnsi="Arial" w:cs="Arial"/>
          <w:color w:val="000000" w:themeColor="text1"/>
          <w:lang w:eastAsia="en-US"/>
        </w:rPr>
        <w:t xml:space="preserve">the </w:t>
      </w:r>
      <w:r w:rsidR="21CCFFC6" w:rsidRPr="087EB417">
        <w:rPr>
          <w:rFonts w:ascii="Arial" w:eastAsiaTheme="minorEastAsia" w:hAnsi="Arial" w:cs="Arial"/>
          <w:color w:val="000000" w:themeColor="text1"/>
          <w:lang w:eastAsia="en-US"/>
        </w:rPr>
        <w:t>key project artefacts such as the</w:t>
      </w:r>
      <w:r w:rsidR="4537F328" w:rsidRPr="087EB417">
        <w:rPr>
          <w:rFonts w:ascii="Arial" w:eastAsiaTheme="minorEastAsia" w:hAnsi="Arial" w:cs="Arial"/>
          <w:color w:val="000000" w:themeColor="text1"/>
          <w:lang w:eastAsia="en-US"/>
        </w:rPr>
        <w:t xml:space="preserve"> business case, benefits profile and project RAID log.</w:t>
      </w:r>
    </w:p>
    <w:p w14:paraId="63265500" w14:textId="164E266C" w:rsidR="087EB417" w:rsidRDefault="087EB417" w:rsidP="087EB417">
      <w:pPr>
        <w:jc w:val="both"/>
        <w:rPr>
          <w:color w:val="000000" w:themeColor="text1"/>
          <w:lang w:eastAsia="en-US"/>
        </w:rPr>
      </w:pPr>
    </w:p>
    <w:p w14:paraId="6EB8B3A6" w14:textId="727BF7D4" w:rsidR="30522744" w:rsidRDefault="30522744" w:rsidP="087EB417">
      <w:pPr>
        <w:pStyle w:val="ListParagraph"/>
        <w:numPr>
          <w:ilvl w:val="0"/>
          <w:numId w:val="3"/>
        </w:numPr>
        <w:ind w:left="0" w:firstLine="0"/>
        <w:jc w:val="both"/>
        <w:rPr>
          <w:b/>
          <w:bCs/>
          <w:lang w:eastAsia="en-US"/>
        </w:rPr>
      </w:pPr>
      <w:r w:rsidRPr="087EB417">
        <w:rPr>
          <w:rFonts w:ascii="Arial" w:eastAsiaTheme="minorEastAsia" w:hAnsi="Arial" w:cs="Arial"/>
          <w:color w:val="000000" w:themeColor="text1"/>
          <w:lang w:eastAsia="en-US"/>
        </w:rPr>
        <w:lastRenderedPageBreak/>
        <w:t xml:space="preserve">The tables below summarise the results from the </w:t>
      </w:r>
      <w:r w:rsidR="50D2E94F" w:rsidRPr="087EB417">
        <w:rPr>
          <w:rFonts w:ascii="Arial" w:eastAsiaTheme="minorEastAsia" w:hAnsi="Arial" w:cs="Arial"/>
          <w:color w:val="000000" w:themeColor="text1"/>
          <w:lang w:eastAsia="en-US"/>
        </w:rPr>
        <w:t>KRR</w:t>
      </w:r>
      <w:r w:rsidRPr="087EB417">
        <w:rPr>
          <w:rFonts w:ascii="Arial" w:eastAsiaTheme="minorEastAsia" w:hAnsi="Arial" w:cs="Arial"/>
          <w:color w:val="000000" w:themeColor="text1"/>
          <w:lang w:eastAsia="en-US"/>
        </w:rPr>
        <w:t xml:space="preserve"> &amp; project analysis</w:t>
      </w:r>
      <w:r w:rsidR="2BEFF0FF" w:rsidRPr="087EB417">
        <w:rPr>
          <w:rFonts w:ascii="Arial" w:eastAsiaTheme="minorEastAsia" w:hAnsi="Arial" w:cs="Arial"/>
          <w:color w:val="000000" w:themeColor="text1"/>
          <w:lang w:eastAsia="en-US"/>
        </w:rPr>
        <w:t>, identifying where controls are in place.</w:t>
      </w:r>
    </w:p>
    <w:p w14:paraId="3F3EAC61" w14:textId="72F60A59" w:rsidR="00E87E9F" w:rsidRDefault="00E87E9F" w:rsidP="00E87E9F">
      <w:pPr>
        <w:pStyle w:val="ListParagraph"/>
        <w:ind w:left="0"/>
        <w:jc w:val="both"/>
        <w:rPr>
          <w:rFonts w:ascii="Arial" w:hAnsi="Arial" w:cs="Arial"/>
          <w:b/>
        </w:rPr>
      </w:pPr>
    </w:p>
    <w:p w14:paraId="63F7F8AF" w14:textId="5DCA8917" w:rsidR="00DD6840" w:rsidRPr="00DD6840" w:rsidRDefault="00DD6840" w:rsidP="00DD684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Threats</w:t>
      </w:r>
    </w:p>
    <w:tbl>
      <w:tblPr>
        <w:tblStyle w:val="TableGrid1"/>
        <w:tblW w:w="9016" w:type="dxa"/>
        <w:tblLook w:val="04A0" w:firstRow="1" w:lastRow="0" w:firstColumn="1" w:lastColumn="0" w:noHBand="0" w:noVBand="1"/>
      </w:tblPr>
      <w:tblGrid>
        <w:gridCol w:w="1696"/>
        <w:gridCol w:w="5820"/>
        <w:gridCol w:w="1500"/>
      </w:tblGrid>
      <w:tr w:rsidR="003B6AEE" w:rsidRPr="003B6AEE" w14:paraId="4F00FABB" w14:textId="77777777" w:rsidTr="1B4EE6DC">
        <w:tc>
          <w:tcPr>
            <w:tcW w:w="1696" w:type="dxa"/>
          </w:tcPr>
          <w:p w14:paraId="5593204C" w14:textId="01684D69" w:rsidR="00E629D8" w:rsidRPr="003B6AEE" w:rsidRDefault="00026352" w:rsidP="003B6AE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bookmarkStart w:id="0" w:name="_Hlk66704968"/>
            <w:r w:rsidRPr="003B6A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Key threats</w:t>
            </w:r>
            <w:r w:rsidR="00E629D8" w:rsidRPr="003B6A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820" w:type="dxa"/>
          </w:tcPr>
          <w:p w14:paraId="084ADDC0" w14:textId="00FBFF13" w:rsidR="00E629D8" w:rsidRPr="003B6AEE" w:rsidRDefault="003A516A" w:rsidP="003B6AE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B6A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Response (Preventative controls)</w:t>
            </w:r>
          </w:p>
        </w:tc>
        <w:tc>
          <w:tcPr>
            <w:tcW w:w="1500" w:type="dxa"/>
          </w:tcPr>
          <w:p w14:paraId="3B29D5EF" w14:textId="29D4844A" w:rsidR="00E629D8" w:rsidRPr="003B6AEE" w:rsidRDefault="00A34A97" w:rsidP="003B6AE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B6A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Current o</w:t>
            </w:r>
            <w:r w:rsidR="00026352" w:rsidRPr="003B6A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wnership</w:t>
            </w:r>
            <w:r w:rsidRPr="003B6A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B6AEE" w:rsidRPr="003B6AEE" w14:paraId="616FF26C" w14:textId="77777777" w:rsidTr="1B4EE6DC">
        <w:tc>
          <w:tcPr>
            <w:tcW w:w="1696" w:type="dxa"/>
          </w:tcPr>
          <w:p w14:paraId="08B6125A" w14:textId="137FB9BD" w:rsidR="00A34A97" w:rsidRPr="003B6AEE" w:rsidRDefault="003A516A" w:rsidP="1B4EE6DC">
            <w:pPr>
              <w:rPr>
                <w:rFonts w:ascii="Arial" w:hAnsi="Arial" w:cs="Arial"/>
                <w:sz w:val="20"/>
                <w:szCs w:val="20"/>
              </w:rPr>
            </w:pPr>
            <w:r w:rsidRPr="1B4EE6DC">
              <w:rPr>
                <w:rFonts w:ascii="Arial" w:hAnsi="Arial" w:cs="Arial"/>
                <w:sz w:val="20"/>
                <w:szCs w:val="20"/>
              </w:rPr>
              <w:t>Culture shift and sense of belonging</w:t>
            </w:r>
          </w:p>
          <w:p w14:paraId="739FA7A8" w14:textId="45B2A8B4" w:rsidR="00A34A97" w:rsidRPr="003B6AEE" w:rsidRDefault="00A34A97" w:rsidP="1B4EE6DC">
            <w:pPr>
              <w:rPr>
                <w:lang w:eastAsia="en-US"/>
              </w:rPr>
            </w:pPr>
          </w:p>
        </w:tc>
        <w:tc>
          <w:tcPr>
            <w:tcW w:w="5820" w:type="dxa"/>
          </w:tcPr>
          <w:p w14:paraId="5D4A7361" w14:textId="77777777" w:rsidR="00E629D8" w:rsidRPr="003B6AEE" w:rsidRDefault="3AFA8638" w:rsidP="087EB417">
            <w:pPr>
              <w:numPr>
                <w:ilvl w:val="0"/>
                <w:numId w:val="9"/>
              </w:numPr>
              <w:contextualSpacing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3B6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Currently captured under People &amp; Change threat risk (i.e. the more negative aspects of existing culture).</w:t>
            </w:r>
          </w:p>
          <w:p w14:paraId="5E0E782B" w14:textId="0FCFF696" w:rsidR="001C7855" w:rsidRPr="003B6AEE" w:rsidRDefault="001C7855" w:rsidP="1B4EE6DC">
            <w:pPr>
              <w:ind w:left="360"/>
              <w:contextualSpacing/>
              <w:rPr>
                <w:lang w:eastAsia="en-US"/>
              </w:rPr>
            </w:pPr>
          </w:p>
        </w:tc>
        <w:tc>
          <w:tcPr>
            <w:tcW w:w="1500" w:type="dxa"/>
          </w:tcPr>
          <w:p w14:paraId="6C24F8F6" w14:textId="3A8CF9D6" w:rsidR="00E629D8" w:rsidRPr="003B6AEE" w:rsidRDefault="00D77601" w:rsidP="087EB417">
            <w:pP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Keeper</w:t>
            </w:r>
            <w:r w:rsidR="78F41403" w:rsidRPr="003B6AEE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 xml:space="preserve"> - KRO</w:t>
            </w:r>
          </w:p>
        </w:tc>
      </w:tr>
      <w:tr w:rsidR="003B6AEE" w:rsidRPr="003B6AEE" w14:paraId="1967C9D1" w14:textId="77777777" w:rsidTr="1B4EE6DC">
        <w:tc>
          <w:tcPr>
            <w:tcW w:w="1696" w:type="dxa"/>
          </w:tcPr>
          <w:p w14:paraId="100289E3" w14:textId="77777777" w:rsidR="00E629D8" w:rsidRPr="003B6AEE" w:rsidRDefault="003A516A" w:rsidP="003B6AE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B6A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Productivity &amp; performance </w:t>
            </w:r>
          </w:p>
          <w:p w14:paraId="49B500CD" w14:textId="59C3C67D" w:rsidR="00A34A97" w:rsidRPr="003B6AEE" w:rsidRDefault="00A34A97" w:rsidP="1B4EE6DC">
            <w:pP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  <w:p w14:paraId="1EB3F938" w14:textId="2E124E17" w:rsidR="00A34A97" w:rsidRPr="003B6AEE" w:rsidRDefault="00A34A97" w:rsidP="1B4EE6DC">
            <w:pPr>
              <w:rPr>
                <w:lang w:eastAsia="en-US"/>
              </w:rPr>
            </w:pPr>
          </w:p>
        </w:tc>
        <w:tc>
          <w:tcPr>
            <w:tcW w:w="5820" w:type="dxa"/>
          </w:tcPr>
          <w:p w14:paraId="78995457" w14:textId="77777777" w:rsidR="00E629D8" w:rsidRPr="003B6AEE" w:rsidRDefault="3AFA8638" w:rsidP="087EB417">
            <w:pPr>
              <w:numPr>
                <w:ilvl w:val="0"/>
                <w:numId w:val="8"/>
              </w:numPr>
              <w:contextualSpacing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3B6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Currently 'Operational capacity' key risk 3, with productivity as a cause. See preventative controls 4 to 9 for responses.</w:t>
            </w:r>
          </w:p>
          <w:p w14:paraId="50B283AC" w14:textId="218B506E" w:rsidR="001C7855" w:rsidRPr="003B6AEE" w:rsidRDefault="001C7855" w:rsidP="001C7855">
            <w:pPr>
              <w:ind w:left="360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</w:tcPr>
          <w:p w14:paraId="6B724256" w14:textId="031BA7FA" w:rsidR="00E629D8" w:rsidRPr="003B6AEE" w:rsidRDefault="00D77601" w:rsidP="368DC17A">
            <w:pP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 xml:space="preserve">Accountable Officer </w:t>
            </w:r>
            <w:r w:rsidR="1D6E7741" w:rsidRPr="003B6AEE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 xml:space="preserve"> </w:t>
            </w:r>
            <w:r w:rsidR="13AADC6A" w:rsidRPr="003B6AEE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-KRO</w:t>
            </w:r>
          </w:p>
        </w:tc>
      </w:tr>
      <w:tr w:rsidR="003B6AEE" w:rsidRPr="003B6AEE" w14:paraId="4047E2E4" w14:textId="77777777" w:rsidTr="1B4EE6DC">
        <w:tc>
          <w:tcPr>
            <w:tcW w:w="1696" w:type="dxa"/>
          </w:tcPr>
          <w:p w14:paraId="79039EE1" w14:textId="77777777" w:rsidR="00E629D8" w:rsidRPr="003B6AEE" w:rsidRDefault="00A34A97" w:rsidP="003B6AE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B6A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Reduction in learning </w:t>
            </w:r>
          </w:p>
          <w:p w14:paraId="3DB6120B" w14:textId="4A45F638" w:rsidR="00A34A97" w:rsidRPr="003B6AEE" w:rsidRDefault="00A34A97" w:rsidP="003B6AE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820" w:type="dxa"/>
          </w:tcPr>
          <w:p w14:paraId="7A28DC4A" w14:textId="39081FEB" w:rsidR="00E629D8" w:rsidRPr="003B6AEE" w:rsidRDefault="3AFA8638" w:rsidP="087EB417">
            <w:pPr>
              <w:numPr>
                <w:ilvl w:val="0"/>
                <w:numId w:val="10"/>
              </w:numPr>
              <w:contextualSpacing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3B6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People &amp; Change key risk, causes 6 (lack of collegiate management approach) &amp; 7 (COVID19 impacts) relevant. Controls include GOO, Future Leadership Development Strategy, SWPG and others.</w:t>
            </w:r>
          </w:p>
        </w:tc>
        <w:tc>
          <w:tcPr>
            <w:tcW w:w="1500" w:type="dxa"/>
          </w:tcPr>
          <w:p w14:paraId="19181CF6" w14:textId="6EF83E30" w:rsidR="00E629D8" w:rsidRPr="003B6AEE" w:rsidRDefault="00D77601" w:rsidP="087EB417">
            <w:pP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Keeper</w:t>
            </w:r>
            <w:r w:rsidR="35FF7298" w:rsidRPr="003B6AEE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 xml:space="preserve"> - KRO</w:t>
            </w:r>
          </w:p>
          <w:p w14:paraId="0C980D6E" w14:textId="1D93BCBC" w:rsidR="00E629D8" w:rsidRPr="003B6AEE" w:rsidRDefault="00E629D8" w:rsidP="087EB417">
            <w:pPr>
              <w:rPr>
                <w:sz w:val="20"/>
                <w:szCs w:val="20"/>
                <w:lang w:eastAsia="en-US"/>
              </w:rPr>
            </w:pPr>
          </w:p>
        </w:tc>
      </w:tr>
      <w:tr w:rsidR="00A34A97" w:rsidRPr="003B6AEE" w14:paraId="5498CADE" w14:textId="77777777" w:rsidTr="1B4EE6DC">
        <w:tc>
          <w:tcPr>
            <w:tcW w:w="1696" w:type="dxa"/>
          </w:tcPr>
          <w:p w14:paraId="2E4CE970" w14:textId="1CAC2320" w:rsidR="00A34A97" w:rsidRPr="003B6AEE" w:rsidRDefault="00E87E9F" w:rsidP="003B6AE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B6A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</w:t>
            </w:r>
            <w:r w:rsidR="00A34A97" w:rsidRPr="003B6A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ifficulty of managing in hybrid environment</w:t>
            </w:r>
          </w:p>
        </w:tc>
        <w:tc>
          <w:tcPr>
            <w:tcW w:w="5820" w:type="dxa"/>
          </w:tcPr>
          <w:p w14:paraId="57A426A2" w14:textId="0ACE25C3" w:rsidR="00A34A97" w:rsidRPr="003B6AEE" w:rsidRDefault="3AFA8638" w:rsidP="087EB417">
            <w:pPr>
              <w:numPr>
                <w:ilvl w:val="0"/>
                <w:numId w:val="10"/>
              </w:numPr>
              <w:contextualSpacing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3B6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Controls from Operational Capacity key risk: Management Essentials content adapted for WFH context (confirmed with L&amp;D team 09/21); PAT commissioned Leadership Diagnostics work role of TL</w:t>
            </w:r>
          </w:p>
        </w:tc>
        <w:tc>
          <w:tcPr>
            <w:tcW w:w="1500" w:type="dxa"/>
          </w:tcPr>
          <w:p w14:paraId="4F6AF07D" w14:textId="64D6F0B5" w:rsidR="00A34A97" w:rsidRPr="003B6AEE" w:rsidRDefault="00D77601" w:rsidP="368DC17A">
            <w:pP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 xml:space="preserve">Accountable Officer </w:t>
            </w:r>
            <w:r w:rsidR="7B53C14C" w:rsidRPr="003B6AEE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 xml:space="preserve"> - KRO </w:t>
            </w:r>
          </w:p>
        </w:tc>
      </w:tr>
      <w:bookmarkEnd w:id="0"/>
    </w:tbl>
    <w:p w14:paraId="3A0240C2" w14:textId="77777777" w:rsidR="00E629D8" w:rsidRPr="003B6AEE" w:rsidRDefault="00E629D8" w:rsidP="00E629D8">
      <w:pPr>
        <w:jc w:val="both"/>
        <w:rPr>
          <w:rFonts w:ascii="Arial" w:hAnsi="Arial" w:cs="Arial"/>
          <w:b/>
        </w:rPr>
      </w:pPr>
    </w:p>
    <w:p w14:paraId="3341E718" w14:textId="77777777" w:rsidR="006772FE" w:rsidRPr="003B6AEE" w:rsidRDefault="006772FE" w:rsidP="006772FE">
      <w:pPr>
        <w:pStyle w:val="ListParagraph"/>
        <w:ind w:left="0"/>
        <w:jc w:val="both"/>
        <w:rPr>
          <w:rFonts w:ascii="Arial" w:hAnsi="Arial" w:cs="Arial"/>
          <w:b/>
        </w:rPr>
      </w:pPr>
    </w:p>
    <w:p w14:paraId="55E7803D" w14:textId="3DFA2893" w:rsidR="00E629D8" w:rsidRPr="003B6AEE" w:rsidRDefault="001B0A8B" w:rsidP="00DD6840">
      <w:pPr>
        <w:jc w:val="both"/>
        <w:rPr>
          <w:rFonts w:ascii="Arial" w:hAnsi="Arial" w:cs="Arial"/>
        </w:rPr>
      </w:pPr>
      <w:r w:rsidRPr="003B6AEE">
        <w:rPr>
          <w:rFonts w:ascii="Arial" w:hAnsi="Arial" w:cs="Arial"/>
          <w:b/>
        </w:rPr>
        <w:t>Opportunities</w:t>
      </w:r>
    </w:p>
    <w:tbl>
      <w:tblPr>
        <w:tblStyle w:val="TableGrid1"/>
        <w:tblW w:w="9016" w:type="dxa"/>
        <w:tblLook w:val="04A0" w:firstRow="1" w:lastRow="0" w:firstColumn="1" w:lastColumn="0" w:noHBand="0" w:noVBand="1"/>
      </w:tblPr>
      <w:tblGrid>
        <w:gridCol w:w="1696"/>
        <w:gridCol w:w="5835"/>
        <w:gridCol w:w="1485"/>
      </w:tblGrid>
      <w:tr w:rsidR="003B6AEE" w:rsidRPr="003B6AEE" w14:paraId="59CF1A9B" w14:textId="77777777" w:rsidTr="1B4EE6DC">
        <w:trPr>
          <w:trHeight w:val="495"/>
        </w:trPr>
        <w:tc>
          <w:tcPr>
            <w:tcW w:w="1696" w:type="dxa"/>
          </w:tcPr>
          <w:p w14:paraId="6865D290" w14:textId="03FAEEE0" w:rsidR="00026352" w:rsidRPr="003B6AEE" w:rsidRDefault="00026352" w:rsidP="003B6AE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B6A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Key </w:t>
            </w:r>
            <w:r w:rsidR="003A516A" w:rsidRPr="003B6A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opportunities</w:t>
            </w:r>
            <w:r w:rsidRPr="003B6A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835" w:type="dxa"/>
          </w:tcPr>
          <w:p w14:paraId="2B636FC4" w14:textId="77777777" w:rsidR="00026352" w:rsidRPr="003B6AEE" w:rsidRDefault="003A516A" w:rsidP="003B6AE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B6A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Response (Enabling controls)</w:t>
            </w:r>
          </w:p>
          <w:p w14:paraId="254BD8F9" w14:textId="275CBA4A" w:rsidR="0038580C" w:rsidRPr="003B6AEE" w:rsidRDefault="0038580C" w:rsidP="003B6AE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</w:tcPr>
          <w:p w14:paraId="69CF8931" w14:textId="2A472C77" w:rsidR="00026352" w:rsidRPr="003B6AEE" w:rsidRDefault="16759E96" w:rsidP="1B4EE6DC">
            <w:pP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1B4EE6DC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Current o</w:t>
            </w:r>
            <w:r w:rsidR="00026352" w:rsidRPr="1B4EE6DC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wnership</w:t>
            </w:r>
          </w:p>
        </w:tc>
      </w:tr>
      <w:tr w:rsidR="003B6AEE" w:rsidRPr="003B6AEE" w14:paraId="2B9E5794" w14:textId="77777777" w:rsidTr="1B4EE6DC">
        <w:tc>
          <w:tcPr>
            <w:tcW w:w="1696" w:type="dxa"/>
          </w:tcPr>
          <w:p w14:paraId="793C852C" w14:textId="602A7494" w:rsidR="00026352" w:rsidRPr="003B6AEE" w:rsidRDefault="00E87E9F" w:rsidP="003B6AE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B6A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Total cost of operations</w:t>
            </w:r>
          </w:p>
        </w:tc>
        <w:tc>
          <w:tcPr>
            <w:tcW w:w="5835" w:type="dxa"/>
          </w:tcPr>
          <w:p w14:paraId="7DE95CA8" w14:textId="7892C511" w:rsidR="00026352" w:rsidRPr="003B6AEE" w:rsidRDefault="4D9FDA9C" w:rsidP="087EB417">
            <w:pPr>
              <w:numPr>
                <w:ilvl w:val="0"/>
                <w:numId w:val="9"/>
              </w:numPr>
              <w:contextualSpacing/>
              <w:rPr>
                <w:rFonts w:ascii="Arial" w:eastAsiaTheme="minorEastAsia" w:hAnsi="Arial" w:cstheme="minorBidi"/>
                <w:sz w:val="20"/>
                <w:szCs w:val="20"/>
                <w:lang w:eastAsia="en-US"/>
              </w:rPr>
            </w:pPr>
            <w:r w:rsidRPr="003B6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Included within "Cost" benefits profile / measures of success</w:t>
            </w:r>
            <w:r w:rsidR="4FFDAE7D" w:rsidRPr="003B6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(guiding principle 10)</w:t>
            </w:r>
          </w:p>
          <w:p w14:paraId="07E91ECB" w14:textId="671D3AE0" w:rsidR="00806926" w:rsidRPr="003B6AEE" w:rsidRDefault="4D9FDA9C" w:rsidP="087EB417">
            <w:pPr>
              <w:numPr>
                <w:ilvl w:val="0"/>
                <w:numId w:val="9"/>
              </w:numPr>
              <w:contextualSpacing/>
              <w:rPr>
                <w:rFonts w:ascii="Arial" w:eastAsiaTheme="minorEastAsia" w:hAnsi="Arial" w:cstheme="minorBidi"/>
                <w:sz w:val="20"/>
                <w:szCs w:val="20"/>
                <w:lang w:eastAsia="en-US"/>
              </w:rPr>
            </w:pPr>
            <w:r w:rsidRPr="003B6AEE">
              <w:rPr>
                <w:rFonts w:ascii="Arial" w:hAnsi="Arial" w:cstheme="minorBidi"/>
                <w:sz w:val="20"/>
                <w:szCs w:val="20"/>
              </w:rPr>
              <w:t xml:space="preserve">Robust Estates Strategy </w:t>
            </w:r>
            <w:r w:rsidR="0018440D">
              <w:rPr>
                <w:rFonts w:ascii="Arial" w:hAnsi="Arial" w:cstheme="minorBidi"/>
                <w:sz w:val="20"/>
                <w:szCs w:val="20"/>
              </w:rPr>
              <w:t>&amp;</w:t>
            </w:r>
            <w:r w:rsidRPr="003B6AEE">
              <w:rPr>
                <w:rFonts w:ascii="Arial" w:hAnsi="Arial" w:cstheme="minorBidi"/>
                <w:sz w:val="20"/>
                <w:szCs w:val="20"/>
              </w:rPr>
              <w:t xml:space="preserve"> Tech strategy </w:t>
            </w:r>
          </w:p>
          <w:p w14:paraId="21CDD329" w14:textId="20C3859A" w:rsidR="0038580C" w:rsidRPr="003B6AEE" w:rsidRDefault="0038580C" w:rsidP="0038580C">
            <w:pPr>
              <w:ind w:left="360"/>
              <w:contextualSpacing/>
              <w:rPr>
                <w:rFonts w:ascii="Arial" w:eastAsiaTheme="minorHAnsi" w:hAnsi="Arial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</w:tcPr>
          <w:p w14:paraId="6B990257" w14:textId="77777777" w:rsidR="00026352" w:rsidRPr="003B6AEE" w:rsidRDefault="00806926" w:rsidP="003B6AE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B6A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Project</w:t>
            </w:r>
          </w:p>
          <w:p w14:paraId="3D7A51A4" w14:textId="77777777" w:rsidR="0038580C" w:rsidRPr="003B6AEE" w:rsidRDefault="0038580C" w:rsidP="003B6AE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702A8E34" w14:textId="5D8067C3" w:rsidR="0038580C" w:rsidRPr="003B6AEE" w:rsidRDefault="0038580C" w:rsidP="003B6AE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B6A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Estates &amp; IT </w:t>
            </w:r>
          </w:p>
        </w:tc>
      </w:tr>
      <w:tr w:rsidR="003B6AEE" w:rsidRPr="003B6AEE" w14:paraId="1AED232C" w14:textId="77777777" w:rsidTr="1B4EE6DC">
        <w:tc>
          <w:tcPr>
            <w:tcW w:w="1696" w:type="dxa"/>
          </w:tcPr>
          <w:p w14:paraId="749297D0" w14:textId="44E3DC28" w:rsidR="00026352" w:rsidRPr="003B6AEE" w:rsidRDefault="00C7645B" w:rsidP="003B6AE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B6A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Culture shift</w:t>
            </w:r>
          </w:p>
        </w:tc>
        <w:tc>
          <w:tcPr>
            <w:tcW w:w="5835" w:type="dxa"/>
          </w:tcPr>
          <w:p w14:paraId="14D59E61" w14:textId="2AEBD700" w:rsidR="0038580C" w:rsidRPr="003B6AEE" w:rsidRDefault="0038580C" w:rsidP="087EB417">
            <w:pPr>
              <w:numPr>
                <w:ilvl w:val="0"/>
                <w:numId w:val="8"/>
              </w:numPr>
              <w:contextualSpacing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3B6AEE">
              <w:rPr>
                <w:rFonts w:ascii="Arial" w:hAnsi="Arial" w:cs="Arial"/>
                <w:sz w:val="20"/>
                <w:szCs w:val="20"/>
              </w:rPr>
              <w:t>Development of overarching principles to influence, promote and adopt new ways of working in hybrid sense</w:t>
            </w:r>
          </w:p>
          <w:p w14:paraId="0DCCF21F" w14:textId="77777777" w:rsidR="0038580C" w:rsidRPr="003B6AEE" w:rsidRDefault="0038580C" w:rsidP="087EB417">
            <w:pPr>
              <w:numPr>
                <w:ilvl w:val="0"/>
                <w:numId w:val="8"/>
              </w:numPr>
              <w:contextualSpacing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3B6AEE">
              <w:rPr>
                <w:rFonts w:ascii="Arial" w:hAnsi="Arial" w:cs="Arial"/>
                <w:sz w:val="20"/>
                <w:szCs w:val="20"/>
              </w:rPr>
              <w:t xml:space="preserve">New ways of working strategy </w:t>
            </w:r>
          </w:p>
          <w:p w14:paraId="36D6F89B" w14:textId="34A3DFC9" w:rsidR="0038580C" w:rsidRPr="003B6AEE" w:rsidRDefault="0038580C" w:rsidP="0038580C">
            <w:pPr>
              <w:ind w:left="360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</w:tcPr>
          <w:p w14:paraId="677F5986" w14:textId="77777777" w:rsidR="00026352" w:rsidRPr="003B6AEE" w:rsidRDefault="0038580C" w:rsidP="003B6AE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B6A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Project</w:t>
            </w:r>
          </w:p>
          <w:p w14:paraId="0CE87FC5" w14:textId="77777777" w:rsidR="0038580C" w:rsidRPr="003B6AEE" w:rsidRDefault="0038580C" w:rsidP="003B6AE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700C1777" w14:textId="38278E3F" w:rsidR="0038580C" w:rsidRPr="003B6AEE" w:rsidRDefault="0038580C" w:rsidP="003B6AE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B6A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HROD</w:t>
            </w:r>
          </w:p>
        </w:tc>
      </w:tr>
      <w:tr w:rsidR="003B6AEE" w:rsidRPr="003B6AEE" w14:paraId="29393A6A" w14:textId="77777777" w:rsidTr="1B4EE6DC">
        <w:tc>
          <w:tcPr>
            <w:tcW w:w="1696" w:type="dxa"/>
          </w:tcPr>
          <w:p w14:paraId="04357DA7" w14:textId="77777777" w:rsidR="00C7645B" w:rsidRPr="003B6AEE" w:rsidRDefault="00C7645B" w:rsidP="00C7645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B6A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Environmental factors</w:t>
            </w:r>
          </w:p>
          <w:p w14:paraId="166B1B0A" w14:textId="13221E80" w:rsidR="00026352" w:rsidRPr="003B6AEE" w:rsidRDefault="00C7645B" w:rsidP="00C7645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B6A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Carbon footprint reduction</w:t>
            </w:r>
          </w:p>
        </w:tc>
        <w:tc>
          <w:tcPr>
            <w:tcW w:w="5835" w:type="dxa"/>
          </w:tcPr>
          <w:p w14:paraId="5F673E7E" w14:textId="3A1549C1" w:rsidR="001B0654" w:rsidRPr="003B6AEE" w:rsidRDefault="4FFDAE7D" w:rsidP="087EB417">
            <w:pPr>
              <w:numPr>
                <w:ilvl w:val="0"/>
                <w:numId w:val="10"/>
              </w:numPr>
              <w:contextualSpacing/>
              <w:rPr>
                <w:rFonts w:ascii="Arial" w:eastAsiaTheme="minorEastAsia" w:hAnsi="Arial" w:cstheme="minorBidi"/>
                <w:sz w:val="20"/>
                <w:szCs w:val="20"/>
                <w:lang w:eastAsia="en-US"/>
              </w:rPr>
            </w:pPr>
            <w:r w:rsidRPr="003B6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Included within "Environmental" benefits profile / measures of success (guiding principle 11)</w:t>
            </w:r>
          </w:p>
          <w:p w14:paraId="25F9101F" w14:textId="3435B7FE" w:rsidR="00026352" w:rsidRPr="003B6AEE" w:rsidRDefault="0038580C" w:rsidP="087EB417">
            <w:pPr>
              <w:numPr>
                <w:ilvl w:val="0"/>
                <w:numId w:val="10"/>
              </w:numPr>
              <w:contextualSpacing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3B6AEE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Less travel, less paper, less energy usage</w:t>
            </w:r>
            <w:r w:rsidR="1575B0AA" w:rsidRPr="003B6AEE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 xml:space="preserve"> - Link to Climate </w:t>
            </w:r>
            <w:r w:rsidR="0018440D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C</w:t>
            </w:r>
            <w:r w:rsidR="1575B0AA" w:rsidRPr="003B6AEE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 xml:space="preserve">hange &amp; Sustainability strategy </w:t>
            </w:r>
          </w:p>
        </w:tc>
        <w:tc>
          <w:tcPr>
            <w:tcW w:w="1485" w:type="dxa"/>
          </w:tcPr>
          <w:p w14:paraId="4228A5BA" w14:textId="77777777" w:rsidR="00026352" w:rsidRPr="003B6AEE" w:rsidRDefault="001B0654" w:rsidP="003B6AE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B6A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Project </w:t>
            </w:r>
          </w:p>
          <w:p w14:paraId="113B254A" w14:textId="77777777" w:rsidR="0038580C" w:rsidRPr="003B6AEE" w:rsidRDefault="0038580C" w:rsidP="003B6AE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5EEC45A9" w14:textId="03B08EA3" w:rsidR="0038580C" w:rsidRPr="003B6AEE" w:rsidRDefault="0038580C" w:rsidP="003B6AE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B6A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Sustainability </w:t>
            </w:r>
          </w:p>
        </w:tc>
      </w:tr>
      <w:tr w:rsidR="003B6AEE" w:rsidRPr="003B6AEE" w14:paraId="238308ED" w14:textId="77777777" w:rsidTr="1B4EE6DC">
        <w:tc>
          <w:tcPr>
            <w:tcW w:w="1696" w:type="dxa"/>
          </w:tcPr>
          <w:p w14:paraId="0FC3543D" w14:textId="2B1F943A" w:rsidR="00A34A97" w:rsidRPr="003B6AEE" w:rsidRDefault="2E98CB38" w:rsidP="1B4EE6DC">
            <w:pP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1B4EE6DC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Ability to serve the customer</w:t>
            </w:r>
          </w:p>
          <w:p w14:paraId="03098FCF" w14:textId="005A30F1" w:rsidR="00A34A97" w:rsidRPr="003B6AEE" w:rsidRDefault="00A34A97" w:rsidP="1B4EE6DC">
            <w:pPr>
              <w:rPr>
                <w:lang w:eastAsia="en-US"/>
              </w:rPr>
            </w:pPr>
          </w:p>
          <w:p w14:paraId="7EE5538F" w14:textId="7B5233AA" w:rsidR="00A34A97" w:rsidRPr="003B6AEE" w:rsidRDefault="00A34A97" w:rsidP="1B4EE6DC">
            <w:pPr>
              <w:rPr>
                <w:lang w:eastAsia="en-US"/>
              </w:rPr>
            </w:pPr>
          </w:p>
        </w:tc>
        <w:tc>
          <w:tcPr>
            <w:tcW w:w="5835" w:type="dxa"/>
          </w:tcPr>
          <w:p w14:paraId="6CEE8411" w14:textId="7DF84B5A" w:rsidR="001B0654" w:rsidRPr="003B6AEE" w:rsidRDefault="4FFDAE7D" w:rsidP="087EB417">
            <w:pPr>
              <w:numPr>
                <w:ilvl w:val="0"/>
                <w:numId w:val="10"/>
              </w:numPr>
              <w:contextualSpacing/>
              <w:rPr>
                <w:rFonts w:ascii="Arial" w:eastAsiaTheme="minorEastAsia" w:hAnsi="Arial" w:cstheme="minorBidi"/>
                <w:sz w:val="20"/>
                <w:szCs w:val="20"/>
                <w:lang w:eastAsia="en-US"/>
              </w:rPr>
            </w:pPr>
            <w:r w:rsidRPr="003B6A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Included within "Customer" benefits profile / measures of success </w:t>
            </w:r>
          </w:p>
          <w:p w14:paraId="3EC38BDC" w14:textId="56AD1CC9" w:rsidR="0038580C" w:rsidRPr="003B6AEE" w:rsidRDefault="015B9E4C" w:rsidP="368DC17A">
            <w:pPr>
              <w:numPr>
                <w:ilvl w:val="0"/>
                <w:numId w:val="10"/>
              </w:numPr>
              <w:contextualSpacing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3B6AEE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Increased awareness of customer behaviours</w:t>
            </w:r>
          </w:p>
        </w:tc>
        <w:tc>
          <w:tcPr>
            <w:tcW w:w="1485" w:type="dxa"/>
          </w:tcPr>
          <w:p w14:paraId="6ED95AF3" w14:textId="523B2150" w:rsidR="00A34A97" w:rsidRPr="003B6AEE" w:rsidRDefault="001B0654" w:rsidP="003B6AE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B6A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Project</w:t>
            </w:r>
          </w:p>
        </w:tc>
      </w:tr>
    </w:tbl>
    <w:p w14:paraId="19759D90" w14:textId="77777777" w:rsidR="00026352" w:rsidRDefault="00026352" w:rsidP="00007232">
      <w:pPr>
        <w:pStyle w:val="ListParagraph"/>
        <w:ind w:left="0"/>
        <w:jc w:val="both"/>
        <w:rPr>
          <w:rFonts w:ascii="Arial" w:hAnsi="Arial" w:cs="Arial"/>
          <w:b/>
        </w:rPr>
      </w:pPr>
    </w:p>
    <w:p w14:paraId="52FE45F4" w14:textId="77777777" w:rsidR="00D0321B" w:rsidRDefault="00D0321B" w:rsidP="00007232">
      <w:pPr>
        <w:jc w:val="both"/>
        <w:rPr>
          <w:rFonts w:ascii="Arial" w:hAnsi="Arial" w:cs="Arial"/>
          <w:b/>
          <w:bCs/>
        </w:rPr>
      </w:pPr>
    </w:p>
    <w:p w14:paraId="793FABB1" w14:textId="1E9B9DB7" w:rsidR="00007232" w:rsidRPr="00A91549" w:rsidRDefault="00026352" w:rsidP="0000723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Other consider</w:t>
      </w:r>
      <w:r w:rsidR="00774419">
        <w:rPr>
          <w:rFonts w:ascii="Arial" w:hAnsi="Arial" w:cs="Arial"/>
          <w:b/>
          <w:bCs/>
        </w:rPr>
        <w:t>ing factors</w:t>
      </w:r>
      <w:r w:rsidR="00007232" w:rsidRPr="00A91549">
        <w:rPr>
          <w:rFonts w:ascii="Arial" w:hAnsi="Arial" w:cs="Arial"/>
          <w:b/>
          <w:bCs/>
        </w:rPr>
        <w:t xml:space="preserve"> </w:t>
      </w:r>
    </w:p>
    <w:p w14:paraId="41807CC7" w14:textId="77777777" w:rsidR="00007232" w:rsidRPr="00007232" w:rsidRDefault="00007232" w:rsidP="00007232">
      <w:pPr>
        <w:pStyle w:val="ListParagraph"/>
        <w:ind w:left="0"/>
        <w:jc w:val="both"/>
        <w:rPr>
          <w:rFonts w:ascii="Arial" w:hAnsi="Arial" w:cs="Arial"/>
          <w:b/>
        </w:rPr>
      </w:pPr>
    </w:p>
    <w:p w14:paraId="0FED69E7" w14:textId="5E822ED8" w:rsidR="00E308F4" w:rsidRDefault="3082DB5F" w:rsidP="003B6AEE">
      <w:pPr>
        <w:pStyle w:val="ListParagraph"/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r w:rsidRPr="7A69265D">
        <w:rPr>
          <w:rFonts w:ascii="Arial" w:hAnsi="Arial" w:cs="Arial"/>
        </w:rPr>
        <w:t>Productivity</w:t>
      </w:r>
      <w:r w:rsidR="22C8A511" w:rsidRPr="7A69265D">
        <w:rPr>
          <w:rFonts w:ascii="Arial" w:hAnsi="Arial" w:cs="Arial"/>
        </w:rPr>
        <w:t>:</w:t>
      </w:r>
      <w:r w:rsidRPr="7A69265D">
        <w:rPr>
          <w:rFonts w:ascii="Arial" w:hAnsi="Arial" w:cs="Arial"/>
        </w:rPr>
        <w:t xml:space="preserve"> </w:t>
      </w:r>
      <w:r w:rsidR="777DDA7D" w:rsidRPr="7A69265D">
        <w:rPr>
          <w:rFonts w:ascii="Arial" w:hAnsi="Arial" w:cs="Arial"/>
        </w:rPr>
        <w:t xml:space="preserve">The board members </w:t>
      </w:r>
      <w:r w:rsidRPr="7A69265D">
        <w:rPr>
          <w:rFonts w:ascii="Arial" w:hAnsi="Arial" w:cs="Arial"/>
        </w:rPr>
        <w:t xml:space="preserve">group </w:t>
      </w:r>
      <w:r w:rsidR="777DDA7D" w:rsidRPr="7A69265D">
        <w:rPr>
          <w:rFonts w:ascii="Arial" w:hAnsi="Arial" w:cs="Arial"/>
        </w:rPr>
        <w:t>discussion</w:t>
      </w:r>
      <w:r w:rsidRPr="7A69265D">
        <w:rPr>
          <w:rFonts w:ascii="Arial" w:hAnsi="Arial" w:cs="Arial"/>
        </w:rPr>
        <w:t>s</w:t>
      </w:r>
      <w:r w:rsidR="777DDA7D" w:rsidRPr="7A69265D">
        <w:rPr>
          <w:rFonts w:ascii="Arial" w:hAnsi="Arial" w:cs="Arial"/>
        </w:rPr>
        <w:t xml:space="preserve"> w</w:t>
      </w:r>
      <w:r w:rsidRPr="7A69265D">
        <w:rPr>
          <w:rFonts w:ascii="Arial" w:hAnsi="Arial" w:cs="Arial"/>
        </w:rPr>
        <w:t>ere</w:t>
      </w:r>
      <w:r w:rsidR="777DDA7D" w:rsidRPr="7A69265D">
        <w:rPr>
          <w:rFonts w:ascii="Arial" w:hAnsi="Arial" w:cs="Arial"/>
        </w:rPr>
        <w:t xml:space="preserve"> heavily focused around the organisation getting back to a fully productive state.  As a result of this the project has enacted by devising a planned approach to </w:t>
      </w:r>
      <w:r w:rsidRPr="7A69265D">
        <w:rPr>
          <w:rFonts w:ascii="Arial" w:hAnsi="Arial" w:cs="Arial"/>
        </w:rPr>
        <w:t xml:space="preserve">enable office-based access for </w:t>
      </w:r>
      <w:r w:rsidR="655CFB78" w:rsidRPr="7A69265D">
        <w:rPr>
          <w:rFonts w:ascii="Arial" w:hAnsi="Arial" w:cs="Arial"/>
        </w:rPr>
        <w:t xml:space="preserve">around </w:t>
      </w:r>
      <w:r w:rsidRPr="7A69265D">
        <w:rPr>
          <w:rFonts w:ascii="Arial" w:hAnsi="Arial" w:cs="Arial"/>
        </w:rPr>
        <w:t>50 colleagues who have been identified as having performance related issues before the end of the calendar year.</w:t>
      </w:r>
      <w:r w:rsidR="30B609B1" w:rsidRPr="7A69265D">
        <w:rPr>
          <w:rFonts w:ascii="Arial" w:hAnsi="Arial" w:cs="Arial"/>
        </w:rPr>
        <w:t xml:space="preserve"> These colleagues will be channelled through</w:t>
      </w:r>
      <w:r w:rsidR="2F838266" w:rsidRPr="7A69265D">
        <w:rPr>
          <w:rFonts w:ascii="Arial" w:hAnsi="Arial" w:cs="Arial"/>
        </w:rPr>
        <w:t xml:space="preserve"> an</w:t>
      </w:r>
      <w:r w:rsidR="30B609B1" w:rsidRPr="7A69265D">
        <w:rPr>
          <w:rFonts w:ascii="Arial" w:hAnsi="Arial" w:cs="Arial"/>
        </w:rPr>
        <w:t xml:space="preserve"> early returner process.</w:t>
      </w:r>
      <w:r w:rsidRPr="7A69265D">
        <w:rPr>
          <w:rFonts w:ascii="Arial" w:hAnsi="Arial" w:cs="Arial"/>
        </w:rPr>
        <w:t xml:space="preserve">  This is with a clear view to boosting productivit</w:t>
      </w:r>
      <w:r w:rsidR="3A508A79" w:rsidRPr="7A69265D">
        <w:rPr>
          <w:rFonts w:ascii="Arial" w:hAnsi="Arial" w:cs="Arial"/>
        </w:rPr>
        <w:t>y,</w:t>
      </w:r>
      <w:r w:rsidRPr="7A69265D">
        <w:rPr>
          <w:rFonts w:ascii="Arial" w:hAnsi="Arial" w:cs="Arial"/>
        </w:rPr>
        <w:t xml:space="preserve"> performance</w:t>
      </w:r>
      <w:r w:rsidR="20CD2BD6" w:rsidRPr="7A69265D">
        <w:rPr>
          <w:rFonts w:ascii="Arial" w:hAnsi="Arial" w:cs="Arial"/>
        </w:rPr>
        <w:t xml:space="preserve"> and wellbeing</w:t>
      </w:r>
      <w:r w:rsidRPr="7A69265D">
        <w:rPr>
          <w:rFonts w:ascii="Arial" w:hAnsi="Arial" w:cs="Arial"/>
        </w:rPr>
        <w:t xml:space="preserve">.   </w:t>
      </w:r>
    </w:p>
    <w:p w14:paraId="57C2DCD8" w14:textId="77777777" w:rsidR="00774419" w:rsidRDefault="00774419" w:rsidP="00774419">
      <w:pPr>
        <w:pStyle w:val="ListParagraph"/>
        <w:ind w:left="0"/>
        <w:jc w:val="both"/>
        <w:rPr>
          <w:rFonts w:ascii="Arial" w:hAnsi="Arial" w:cs="Arial"/>
        </w:rPr>
      </w:pPr>
    </w:p>
    <w:p w14:paraId="07678262" w14:textId="63AF575D" w:rsidR="00774419" w:rsidRPr="00270C5C" w:rsidRDefault="3B0FD7F9" w:rsidP="00270C5C">
      <w:pPr>
        <w:pStyle w:val="ListParagraph"/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r w:rsidRPr="7A69265D">
        <w:rPr>
          <w:rFonts w:ascii="Arial" w:hAnsi="Arial" w:cs="Arial"/>
        </w:rPr>
        <w:t>The Future of the estate</w:t>
      </w:r>
      <w:r w:rsidR="22C8A511" w:rsidRPr="7A69265D">
        <w:rPr>
          <w:rFonts w:ascii="Arial" w:hAnsi="Arial" w:cs="Arial"/>
        </w:rPr>
        <w:t>:</w:t>
      </w:r>
      <w:r w:rsidRPr="7A69265D">
        <w:rPr>
          <w:rFonts w:ascii="Arial" w:hAnsi="Arial" w:cs="Arial"/>
        </w:rPr>
        <w:t xml:space="preserve"> Exploration of space sharing initiatives is well underway, and a pilot is being run with </w:t>
      </w:r>
      <w:r w:rsidR="1320763B" w:rsidRPr="7A69265D">
        <w:rPr>
          <w:rFonts w:ascii="Arial" w:hAnsi="Arial" w:cs="Arial"/>
        </w:rPr>
        <w:t xml:space="preserve">colleagues from Scottish Futures Trust and </w:t>
      </w:r>
      <w:r w:rsidRPr="7A69265D">
        <w:rPr>
          <w:rFonts w:ascii="Arial" w:hAnsi="Arial" w:cs="Arial"/>
        </w:rPr>
        <w:t>a team f</w:t>
      </w:r>
      <w:r w:rsidR="450EDDF1" w:rsidRPr="7A69265D">
        <w:rPr>
          <w:rFonts w:ascii="Arial" w:hAnsi="Arial" w:cs="Arial"/>
        </w:rPr>
        <w:t>rom</w:t>
      </w:r>
      <w:r w:rsidRPr="7A69265D">
        <w:rPr>
          <w:rFonts w:ascii="Arial" w:hAnsi="Arial" w:cs="Arial"/>
        </w:rPr>
        <w:t xml:space="preserve"> Revenue Scotland utilising the Glasgow office space.  </w:t>
      </w:r>
      <w:r w:rsidRPr="00270C5C">
        <w:rPr>
          <w:rFonts w:ascii="Arial" w:hAnsi="Arial" w:cs="Arial"/>
        </w:rPr>
        <w:t>The latest RoS organisation wide survey results have demonstrated a further shift</w:t>
      </w:r>
      <w:r w:rsidR="6F7B89C2" w:rsidRPr="00270C5C">
        <w:rPr>
          <w:rFonts w:ascii="Arial" w:hAnsi="Arial" w:cs="Arial"/>
        </w:rPr>
        <w:t xml:space="preserve"> in preference</w:t>
      </w:r>
      <w:r w:rsidRPr="00270C5C">
        <w:rPr>
          <w:rFonts w:ascii="Arial" w:hAnsi="Arial" w:cs="Arial"/>
        </w:rPr>
        <w:t xml:space="preserve"> to remote working, indicating that limited on-site capacity will not be a significant risk to RoS.  The work in the project will continue to align </w:t>
      </w:r>
      <w:r w:rsidR="0BE01C13" w:rsidRPr="00270C5C">
        <w:rPr>
          <w:rFonts w:ascii="Arial" w:hAnsi="Arial" w:cs="Arial"/>
        </w:rPr>
        <w:t xml:space="preserve">to </w:t>
      </w:r>
      <w:r w:rsidRPr="00270C5C">
        <w:rPr>
          <w:rFonts w:ascii="Arial" w:hAnsi="Arial" w:cs="Arial"/>
        </w:rPr>
        <w:t xml:space="preserve">and shape the Estates strategy which will be presented back to </w:t>
      </w:r>
      <w:r w:rsidR="6422B109" w:rsidRPr="00270C5C">
        <w:rPr>
          <w:rFonts w:ascii="Arial" w:hAnsi="Arial" w:cs="Arial"/>
        </w:rPr>
        <w:t>RoS board in quarter 4 of 2021-22.</w:t>
      </w:r>
      <w:r w:rsidRPr="00270C5C">
        <w:rPr>
          <w:rFonts w:ascii="Arial" w:hAnsi="Arial" w:cs="Arial"/>
        </w:rPr>
        <w:t xml:space="preserve"> </w:t>
      </w:r>
    </w:p>
    <w:p w14:paraId="016C5AB7" w14:textId="797C1491" w:rsidR="00BB2092" w:rsidRDefault="00BB2092" w:rsidP="00E308F4">
      <w:pPr>
        <w:jc w:val="both"/>
        <w:rPr>
          <w:rFonts w:ascii="Arial" w:hAnsi="Arial" w:cs="Arial"/>
        </w:rPr>
      </w:pPr>
    </w:p>
    <w:p w14:paraId="282DE8C7" w14:textId="77777777" w:rsidR="0063204E" w:rsidRDefault="0063204E" w:rsidP="00E308F4">
      <w:pPr>
        <w:jc w:val="both"/>
        <w:rPr>
          <w:rFonts w:ascii="Arial" w:hAnsi="Arial" w:cs="Arial"/>
        </w:rPr>
      </w:pPr>
    </w:p>
    <w:p w14:paraId="3EEAAA4F" w14:textId="7C811A4D" w:rsidR="00254E2C" w:rsidRPr="00BB2092" w:rsidRDefault="00E308F4" w:rsidP="00007232">
      <w:pPr>
        <w:jc w:val="both"/>
        <w:rPr>
          <w:rFonts w:ascii="Arial" w:hAnsi="Arial" w:cs="Arial"/>
          <w:b/>
        </w:rPr>
      </w:pPr>
      <w:r w:rsidRPr="368DC17A">
        <w:rPr>
          <w:rFonts w:ascii="Arial" w:hAnsi="Arial" w:cs="Arial"/>
          <w:b/>
          <w:bCs/>
        </w:rPr>
        <w:t>Conclusion</w:t>
      </w:r>
    </w:p>
    <w:p w14:paraId="761A7210" w14:textId="18FB0325" w:rsidR="368DC17A" w:rsidRDefault="368DC17A" w:rsidP="368DC17A">
      <w:pPr>
        <w:jc w:val="both"/>
        <w:rPr>
          <w:b/>
          <w:bCs/>
        </w:rPr>
      </w:pPr>
    </w:p>
    <w:p w14:paraId="0F9AA037" w14:textId="3EB53415" w:rsidR="368DC17A" w:rsidRPr="00D0321B" w:rsidRDefault="1F9CCC87" w:rsidP="7A69265D">
      <w:pPr>
        <w:pStyle w:val="ListParagraph"/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r w:rsidRPr="7A69265D">
        <w:rPr>
          <w:rFonts w:ascii="Arial" w:hAnsi="Arial" w:cs="Arial"/>
        </w:rPr>
        <w:t xml:space="preserve">The main conclusion </w:t>
      </w:r>
      <w:r w:rsidR="5EE99405" w:rsidRPr="7A69265D">
        <w:rPr>
          <w:rFonts w:ascii="Arial" w:hAnsi="Arial" w:cs="Arial"/>
        </w:rPr>
        <w:t>is</w:t>
      </w:r>
      <w:r w:rsidRPr="7A69265D">
        <w:rPr>
          <w:rFonts w:ascii="Arial" w:hAnsi="Arial" w:cs="Arial"/>
        </w:rPr>
        <w:t xml:space="preserve"> that hybrid working does not currently warrant a key risk status of its own, however there are </w:t>
      </w:r>
      <w:r w:rsidR="0063204E">
        <w:rPr>
          <w:rFonts w:ascii="Arial" w:hAnsi="Arial" w:cs="Arial"/>
        </w:rPr>
        <w:t xml:space="preserve">already </w:t>
      </w:r>
      <w:r w:rsidR="7CE1E36C" w:rsidRPr="7A69265D">
        <w:rPr>
          <w:rFonts w:ascii="Arial" w:hAnsi="Arial" w:cs="Arial"/>
        </w:rPr>
        <w:t>other key</w:t>
      </w:r>
      <w:r w:rsidR="0063204E">
        <w:rPr>
          <w:rFonts w:ascii="Arial" w:hAnsi="Arial" w:cs="Arial"/>
        </w:rPr>
        <w:t xml:space="preserve"> organisation wide</w:t>
      </w:r>
      <w:r w:rsidR="7CE1E36C" w:rsidRPr="7A69265D">
        <w:rPr>
          <w:rFonts w:ascii="Arial" w:hAnsi="Arial" w:cs="Arial"/>
        </w:rPr>
        <w:t xml:space="preserve"> risks identified</w:t>
      </w:r>
      <w:r w:rsidR="51D32391" w:rsidRPr="7A69265D">
        <w:rPr>
          <w:rFonts w:ascii="Arial" w:hAnsi="Arial" w:cs="Arial"/>
        </w:rPr>
        <w:t xml:space="preserve"> that form part of the corporate level key risk register</w:t>
      </w:r>
      <w:r w:rsidR="7CE1E36C" w:rsidRPr="7A69265D">
        <w:rPr>
          <w:rFonts w:ascii="Arial" w:hAnsi="Arial" w:cs="Arial"/>
        </w:rPr>
        <w:t xml:space="preserve"> in which hybrid working could have a positive </w:t>
      </w:r>
      <w:r w:rsidR="0063204E">
        <w:rPr>
          <w:rFonts w:ascii="Arial" w:hAnsi="Arial" w:cs="Arial"/>
        </w:rPr>
        <w:t xml:space="preserve">mitigating impact </w:t>
      </w:r>
      <w:r w:rsidR="4A850144" w:rsidRPr="7A69265D">
        <w:rPr>
          <w:rFonts w:ascii="Arial" w:hAnsi="Arial" w:cs="Arial"/>
        </w:rPr>
        <w:t xml:space="preserve">to risk </w:t>
      </w:r>
      <w:r w:rsidR="7CE1E36C" w:rsidRPr="7A69265D">
        <w:rPr>
          <w:rFonts w:ascii="Arial" w:hAnsi="Arial" w:cs="Arial"/>
        </w:rPr>
        <w:t xml:space="preserve">or pose </w:t>
      </w:r>
      <w:r w:rsidR="009F5357">
        <w:rPr>
          <w:rFonts w:ascii="Arial" w:hAnsi="Arial" w:cs="Arial"/>
        </w:rPr>
        <w:t xml:space="preserve">as </w:t>
      </w:r>
      <w:r w:rsidR="7CE1E36C" w:rsidRPr="7A69265D">
        <w:rPr>
          <w:rFonts w:ascii="Arial" w:hAnsi="Arial" w:cs="Arial"/>
        </w:rPr>
        <w:t>a</w:t>
      </w:r>
      <w:r w:rsidR="009F5357">
        <w:rPr>
          <w:rFonts w:ascii="Arial" w:hAnsi="Arial" w:cs="Arial"/>
        </w:rPr>
        <w:t xml:space="preserve"> potential</w:t>
      </w:r>
      <w:r w:rsidR="7CE1E36C" w:rsidRPr="7A69265D">
        <w:rPr>
          <w:rFonts w:ascii="Arial" w:hAnsi="Arial" w:cs="Arial"/>
        </w:rPr>
        <w:t xml:space="preserve"> threat.  The appropriate</w:t>
      </w:r>
      <w:r w:rsidR="3E4902BD" w:rsidRPr="7A69265D">
        <w:rPr>
          <w:rFonts w:ascii="Arial" w:hAnsi="Arial" w:cs="Arial"/>
        </w:rPr>
        <w:t xml:space="preserve"> preventative controls are in place</w:t>
      </w:r>
      <w:r w:rsidR="03FE150A" w:rsidRPr="7A69265D">
        <w:rPr>
          <w:rFonts w:ascii="Arial" w:hAnsi="Arial" w:cs="Arial"/>
        </w:rPr>
        <w:t xml:space="preserve"> to mitigate risk at project level</w:t>
      </w:r>
      <w:r w:rsidR="3E4902BD" w:rsidRPr="7A69265D">
        <w:rPr>
          <w:rFonts w:ascii="Arial" w:hAnsi="Arial" w:cs="Arial"/>
        </w:rPr>
        <w:t xml:space="preserve"> and the project continues to </w:t>
      </w:r>
      <w:r w:rsidR="74396CBD" w:rsidRPr="7A69265D">
        <w:rPr>
          <w:rFonts w:ascii="Arial" w:hAnsi="Arial" w:cs="Arial"/>
        </w:rPr>
        <w:t xml:space="preserve">leverage opportunities </w:t>
      </w:r>
      <w:r w:rsidR="3859A25C" w:rsidRPr="7A69265D">
        <w:rPr>
          <w:rFonts w:ascii="Arial" w:hAnsi="Arial" w:cs="Arial"/>
        </w:rPr>
        <w:t>through</w:t>
      </w:r>
      <w:r w:rsidR="74396CBD" w:rsidRPr="7A69265D">
        <w:rPr>
          <w:rFonts w:ascii="Arial" w:hAnsi="Arial" w:cs="Arial"/>
        </w:rPr>
        <w:t xml:space="preserve"> progress</w:t>
      </w:r>
      <w:r w:rsidR="1D2BFA19" w:rsidRPr="7A69265D">
        <w:rPr>
          <w:rFonts w:ascii="Arial" w:hAnsi="Arial" w:cs="Arial"/>
        </w:rPr>
        <w:t>ing</w:t>
      </w:r>
      <w:r w:rsidR="74396CBD" w:rsidRPr="7A69265D">
        <w:rPr>
          <w:rFonts w:ascii="Arial" w:hAnsi="Arial" w:cs="Arial"/>
        </w:rPr>
        <w:t xml:space="preserve"> key deliverables of the project</w:t>
      </w:r>
      <w:r w:rsidR="0929E676" w:rsidRPr="7A69265D">
        <w:rPr>
          <w:rFonts w:ascii="Arial" w:hAnsi="Arial" w:cs="Arial"/>
        </w:rPr>
        <w:t xml:space="preserve"> in the attainment of its objectives</w:t>
      </w:r>
      <w:r w:rsidR="74396CBD" w:rsidRPr="7A69265D">
        <w:rPr>
          <w:rFonts w:ascii="Arial" w:hAnsi="Arial" w:cs="Arial"/>
        </w:rPr>
        <w:t>.</w:t>
      </w:r>
    </w:p>
    <w:p w14:paraId="1B6E1B7D" w14:textId="4B946B34" w:rsidR="7A69265D" w:rsidRDefault="7A69265D" w:rsidP="7A69265D">
      <w:pPr>
        <w:jc w:val="both"/>
      </w:pPr>
    </w:p>
    <w:p w14:paraId="25E8DF4B" w14:textId="66739853" w:rsidR="00A2754F" w:rsidRPr="00D0321B" w:rsidRDefault="47F9B801" w:rsidP="00A2754F">
      <w:pPr>
        <w:pStyle w:val="ListParagraph"/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r w:rsidRPr="7A69265D">
        <w:rPr>
          <w:rFonts w:ascii="Arial" w:hAnsi="Arial" w:cs="Arial"/>
        </w:rPr>
        <w:t xml:space="preserve">The </w:t>
      </w:r>
      <w:r w:rsidR="0B1A8A52" w:rsidRPr="7A69265D">
        <w:rPr>
          <w:rFonts w:ascii="Arial" w:hAnsi="Arial" w:cs="Arial"/>
        </w:rPr>
        <w:t xml:space="preserve">board are asked to note the </w:t>
      </w:r>
      <w:r w:rsidR="143FC917" w:rsidRPr="7A69265D">
        <w:rPr>
          <w:rFonts w:ascii="Arial" w:hAnsi="Arial" w:cs="Arial"/>
        </w:rPr>
        <w:t>paper and</w:t>
      </w:r>
      <w:r w:rsidRPr="7A69265D">
        <w:rPr>
          <w:rFonts w:ascii="Arial" w:hAnsi="Arial" w:cs="Arial"/>
        </w:rPr>
        <w:t xml:space="preserve"> are invited to provide their thoughts and advice on the </w:t>
      </w:r>
      <w:r w:rsidR="1C24D647" w:rsidRPr="7A69265D">
        <w:rPr>
          <w:rFonts w:ascii="Arial" w:hAnsi="Arial" w:cs="Arial"/>
        </w:rPr>
        <w:t>assessment of the key threats and opportunities as well as the other considering factors</w:t>
      </w:r>
      <w:r w:rsidR="3C379D2E" w:rsidRPr="7A69265D">
        <w:rPr>
          <w:rFonts w:ascii="Arial" w:hAnsi="Arial" w:cs="Arial"/>
        </w:rPr>
        <w:t>.</w:t>
      </w:r>
    </w:p>
    <w:p w14:paraId="1206111B" w14:textId="77777777" w:rsidR="00A2754F" w:rsidRPr="00D0321B" w:rsidRDefault="00A2754F" w:rsidP="00A2754F">
      <w:pPr>
        <w:pStyle w:val="ListParagraph"/>
        <w:ind w:left="0"/>
        <w:jc w:val="both"/>
        <w:rPr>
          <w:rFonts w:ascii="Arial" w:hAnsi="Arial" w:cs="Arial"/>
        </w:rPr>
      </w:pPr>
    </w:p>
    <w:p w14:paraId="2C1D77B6" w14:textId="7AC2BDCB" w:rsidR="00E308F4" w:rsidRPr="00D0321B" w:rsidRDefault="199C6B38" w:rsidP="368DC17A">
      <w:pPr>
        <w:pStyle w:val="ListParagraph"/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r w:rsidRPr="7A69265D">
        <w:rPr>
          <w:rFonts w:ascii="Arial" w:hAnsi="Arial" w:cs="Arial"/>
        </w:rPr>
        <w:t xml:space="preserve">The project </w:t>
      </w:r>
      <w:r w:rsidR="7BAE66A0" w:rsidRPr="7A69265D">
        <w:rPr>
          <w:rFonts w:ascii="Arial" w:hAnsi="Arial" w:cs="Arial"/>
        </w:rPr>
        <w:t xml:space="preserve">will </w:t>
      </w:r>
      <w:r w:rsidRPr="7A69265D">
        <w:rPr>
          <w:rFonts w:ascii="Arial" w:hAnsi="Arial" w:cs="Arial"/>
        </w:rPr>
        <w:t xml:space="preserve">provide a further </w:t>
      </w:r>
      <w:r w:rsidR="25E2CBCB" w:rsidRPr="7A69265D">
        <w:rPr>
          <w:rFonts w:ascii="Arial" w:hAnsi="Arial" w:cs="Arial"/>
        </w:rPr>
        <w:t xml:space="preserve">progress </w:t>
      </w:r>
      <w:r w:rsidRPr="7A69265D">
        <w:rPr>
          <w:rFonts w:ascii="Arial" w:hAnsi="Arial" w:cs="Arial"/>
        </w:rPr>
        <w:t>update to</w:t>
      </w:r>
      <w:r w:rsidR="4D2BFE6F" w:rsidRPr="7A69265D">
        <w:rPr>
          <w:rFonts w:ascii="Arial" w:hAnsi="Arial" w:cs="Arial"/>
        </w:rPr>
        <w:t xml:space="preserve"> the</w:t>
      </w:r>
      <w:r w:rsidRPr="7A69265D">
        <w:rPr>
          <w:rFonts w:ascii="Arial" w:hAnsi="Arial" w:cs="Arial"/>
        </w:rPr>
        <w:t xml:space="preserve"> RoS </w:t>
      </w:r>
      <w:r w:rsidR="039D4379" w:rsidRPr="7A69265D">
        <w:rPr>
          <w:rFonts w:ascii="Arial" w:hAnsi="Arial" w:cs="Arial"/>
        </w:rPr>
        <w:t>B</w:t>
      </w:r>
      <w:r w:rsidRPr="7A69265D">
        <w:rPr>
          <w:rFonts w:ascii="Arial" w:hAnsi="Arial" w:cs="Arial"/>
        </w:rPr>
        <w:t xml:space="preserve">oard in </w:t>
      </w:r>
      <w:r w:rsidR="284E2F6D" w:rsidRPr="7A69265D">
        <w:rPr>
          <w:rFonts w:ascii="Arial" w:hAnsi="Arial" w:cs="Arial"/>
        </w:rPr>
        <w:t>March on the results of the hybrid experiment</w:t>
      </w:r>
      <w:r w:rsidR="351F3A9D" w:rsidRPr="7A69265D">
        <w:rPr>
          <w:rFonts w:ascii="Arial" w:hAnsi="Arial" w:cs="Arial"/>
        </w:rPr>
        <w:t>ation</w:t>
      </w:r>
      <w:r w:rsidR="284E2F6D" w:rsidRPr="7A69265D">
        <w:rPr>
          <w:rFonts w:ascii="Arial" w:hAnsi="Arial" w:cs="Arial"/>
        </w:rPr>
        <w:t xml:space="preserve"> and provide the projects recommendations</w:t>
      </w:r>
      <w:r w:rsidR="069C70ED" w:rsidRPr="7A69265D">
        <w:rPr>
          <w:rFonts w:ascii="Arial" w:hAnsi="Arial" w:cs="Arial"/>
        </w:rPr>
        <w:t xml:space="preserve"> and rationale</w:t>
      </w:r>
      <w:r w:rsidR="284E2F6D" w:rsidRPr="7A69265D">
        <w:rPr>
          <w:rFonts w:ascii="Arial" w:hAnsi="Arial" w:cs="Arial"/>
        </w:rPr>
        <w:t xml:space="preserve"> </w:t>
      </w:r>
      <w:r w:rsidR="28D0B0F5" w:rsidRPr="7A69265D">
        <w:rPr>
          <w:rFonts w:ascii="Arial" w:hAnsi="Arial" w:cs="Arial"/>
        </w:rPr>
        <w:t xml:space="preserve">prior to </w:t>
      </w:r>
      <w:r w:rsidR="26D55BB5" w:rsidRPr="7A69265D">
        <w:rPr>
          <w:rFonts w:ascii="Arial" w:hAnsi="Arial" w:cs="Arial"/>
        </w:rPr>
        <w:t xml:space="preserve">fully </w:t>
      </w:r>
      <w:r w:rsidR="28D0B0F5" w:rsidRPr="7A69265D">
        <w:rPr>
          <w:rFonts w:ascii="Arial" w:hAnsi="Arial" w:cs="Arial"/>
        </w:rPr>
        <w:t xml:space="preserve">embarking on hybrid working. </w:t>
      </w:r>
      <w:r w:rsidR="284E2F6D" w:rsidRPr="7A69265D">
        <w:rPr>
          <w:rFonts w:ascii="Arial" w:hAnsi="Arial" w:cs="Arial"/>
        </w:rPr>
        <w:t xml:space="preserve"> </w:t>
      </w:r>
    </w:p>
    <w:p w14:paraId="00A70137" w14:textId="77777777" w:rsidR="00E3759B" w:rsidRDefault="00E3759B" w:rsidP="00E308F4">
      <w:pPr>
        <w:ind w:left="1440" w:hanging="1440"/>
        <w:jc w:val="both"/>
        <w:rPr>
          <w:rFonts w:ascii="Arial" w:hAnsi="Arial" w:cs="Arial"/>
          <w:b/>
        </w:rPr>
      </w:pPr>
    </w:p>
    <w:p w14:paraId="11CD0F27" w14:textId="1D10C22D" w:rsidR="368DC17A" w:rsidRDefault="368DC17A" w:rsidP="368DC17A">
      <w:pPr>
        <w:ind w:left="1440" w:hanging="1440"/>
        <w:jc w:val="both"/>
        <w:rPr>
          <w:rFonts w:ascii="Arial" w:hAnsi="Arial" w:cs="Arial"/>
          <w:b/>
          <w:bCs/>
        </w:rPr>
      </w:pPr>
    </w:p>
    <w:p w14:paraId="17821B87" w14:textId="2D9AB4D3" w:rsidR="00E308F4" w:rsidRDefault="001B0A8B" w:rsidP="00E308F4">
      <w:pPr>
        <w:ind w:left="1440" w:hanging="14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People &amp; Workspace</w:t>
      </w:r>
      <w:r w:rsidR="00307713">
        <w:rPr>
          <w:rFonts w:ascii="Arial" w:hAnsi="Arial" w:cs="Arial"/>
          <w:b/>
        </w:rPr>
        <w:t xml:space="preserve"> Project Manager</w:t>
      </w:r>
    </w:p>
    <w:p w14:paraId="0313E263" w14:textId="00E256B7" w:rsidR="00E308F4" w:rsidRDefault="00A91549" w:rsidP="00D77601">
      <w:pPr>
        <w:ind w:left="1440" w:hanging="14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Corporate </w:t>
      </w:r>
      <w:r w:rsidR="00E308F4">
        <w:rPr>
          <w:rFonts w:ascii="Arial" w:hAnsi="Arial" w:cs="Arial"/>
          <w:b/>
        </w:rPr>
        <w:t>Directorate</w:t>
      </w:r>
    </w:p>
    <w:p w14:paraId="2CE0B02E" w14:textId="2DBDA369" w:rsidR="00E308F4" w:rsidRDefault="6B31C1FA" w:rsidP="07269507">
      <w:pPr>
        <w:ind w:left="1440" w:hanging="1440"/>
        <w:jc w:val="both"/>
        <w:rPr>
          <w:rFonts w:ascii="Arial" w:hAnsi="Arial" w:cs="Arial"/>
          <w:b/>
          <w:bCs/>
        </w:rPr>
      </w:pPr>
      <w:r w:rsidRPr="07269507">
        <w:rPr>
          <w:rFonts w:ascii="Arial" w:hAnsi="Arial" w:cs="Arial"/>
          <w:b/>
          <w:bCs/>
        </w:rPr>
        <w:t xml:space="preserve">November </w:t>
      </w:r>
      <w:r w:rsidR="00A91549" w:rsidRPr="07269507">
        <w:rPr>
          <w:rFonts w:ascii="Arial" w:hAnsi="Arial" w:cs="Arial"/>
          <w:b/>
          <w:bCs/>
        </w:rPr>
        <w:t>2021</w:t>
      </w:r>
    </w:p>
    <w:p w14:paraId="42D3A1BD" w14:textId="393D695E" w:rsidR="003B6AEE" w:rsidRDefault="003B6AEE"/>
    <w:p w14:paraId="7C43337D" w14:textId="2AD73797" w:rsidR="00434D78" w:rsidRDefault="00434D78" w:rsidP="087EB417"/>
    <w:p w14:paraId="66784B8A" w14:textId="2FF6CCE4" w:rsidR="00434D78" w:rsidRDefault="00434D78"/>
    <w:p w14:paraId="2A1F25EA" w14:textId="07FE48BE" w:rsidR="00434D78" w:rsidRDefault="00434D78"/>
    <w:p w14:paraId="4139667B" w14:textId="521D6522" w:rsidR="00434D78" w:rsidRDefault="00434D78"/>
    <w:p w14:paraId="7943120F" w14:textId="1D18CD7A" w:rsidR="00434D78" w:rsidRDefault="00434D78"/>
    <w:p w14:paraId="5B8F76E5" w14:textId="29D10429" w:rsidR="00434D78" w:rsidRDefault="00434D78"/>
    <w:p w14:paraId="3081011A" w14:textId="77777777" w:rsidR="00434D78" w:rsidRDefault="00434D78">
      <w:pPr>
        <w:sectPr w:rsidR="00434D78">
          <w:head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B043F55" w14:textId="322EF583" w:rsidR="00EB3C10" w:rsidRPr="00894BDC" w:rsidRDefault="1442F64A">
      <w:pPr>
        <w:rPr>
          <w:rFonts w:ascii="Arial" w:hAnsi="Arial" w:cs="Arial"/>
          <w:b/>
          <w:bCs/>
        </w:rPr>
      </w:pPr>
      <w:r w:rsidRPr="7A69265D">
        <w:rPr>
          <w:rFonts w:ascii="Arial" w:hAnsi="Arial" w:cs="Arial"/>
          <w:b/>
          <w:bCs/>
        </w:rPr>
        <w:lastRenderedPageBreak/>
        <w:t>Annex</w:t>
      </w:r>
      <w:r>
        <w:t xml:space="preserve"> </w:t>
      </w:r>
      <w:r w:rsidRPr="7A69265D">
        <w:rPr>
          <w:rFonts w:ascii="Arial" w:hAnsi="Arial" w:cs="Arial"/>
          <w:b/>
          <w:bCs/>
        </w:rPr>
        <w:t xml:space="preserve">A  - </w:t>
      </w:r>
      <w:r w:rsidR="256B89F8" w:rsidRPr="7A69265D">
        <w:rPr>
          <w:rFonts w:ascii="Arial" w:hAnsi="Arial" w:cs="Arial"/>
          <w:b/>
          <w:bCs/>
        </w:rPr>
        <w:t xml:space="preserve">Output from RoS </w:t>
      </w:r>
      <w:r w:rsidR="1C2B1C52" w:rsidRPr="7A69265D">
        <w:rPr>
          <w:rFonts w:ascii="Arial" w:hAnsi="Arial" w:cs="Arial"/>
          <w:b/>
          <w:bCs/>
        </w:rPr>
        <w:t>B</w:t>
      </w:r>
      <w:r w:rsidR="256B89F8" w:rsidRPr="7A69265D">
        <w:rPr>
          <w:rFonts w:ascii="Arial" w:hAnsi="Arial" w:cs="Arial"/>
          <w:b/>
          <w:bCs/>
        </w:rPr>
        <w:t xml:space="preserve">oard </w:t>
      </w:r>
      <w:r w:rsidR="0022682C">
        <w:rPr>
          <w:rFonts w:ascii="Arial" w:hAnsi="Arial" w:cs="Arial"/>
          <w:b/>
          <w:bCs/>
        </w:rPr>
        <w:t>W</w:t>
      </w:r>
      <w:r w:rsidR="256B89F8" w:rsidRPr="7A69265D">
        <w:rPr>
          <w:rFonts w:ascii="Arial" w:hAnsi="Arial" w:cs="Arial"/>
          <w:b/>
          <w:bCs/>
        </w:rPr>
        <w:t xml:space="preserve">orkshop </w:t>
      </w:r>
      <w:r w:rsidR="3C379D2E">
        <w:rPr>
          <w:noProof/>
        </w:rPr>
        <w:drawing>
          <wp:inline distT="0" distB="0" distL="0" distR="0" wp14:anchorId="7EB6B766" wp14:editId="274C8554">
            <wp:extent cx="8863330" cy="2616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422B109">
        <w:rPr>
          <w:noProof/>
        </w:rPr>
        <w:drawing>
          <wp:inline distT="0" distB="0" distL="0" distR="0" wp14:anchorId="46148127" wp14:editId="22D908D4">
            <wp:extent cx="8818880" cy="2870200"/>
            <wp:effectExtent l="0" t="0" r="127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2839" cy="2871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3C10" w:rsidRPr="00894BDC" w:rsidSect="00434D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97A2C" w14:textId="77777777" w:rsidR="0065059F" w:rsidRDefault="0065059F" w:rsidP="0065059F">
      <w:r>
        <w:separator/>
      </w:r>
    </w:p>
  </w:endnote>
  <w:endnote w:type="continuationSeparator" w:id="0">
    <w:p w14:paraId="22D358C3" w14:textId="77777777" w:rsidR="0065059F" w:rsidRDefault="0065059F" w:rsidP="0065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484E0" w14:textId="77777777" w:rsidR="0065059F" w:rsidRDefault="0065059F" w:rsidP="0065059F">
      <w:r>
        <w:separator/>
      </w:r>
    </w:p>
  </w:footnote>
  <w:footnote w:type="continuationSeparator" w:id="0">
    <w:p w14:paraId="6FB42710" w14:textId="77777777" w:rsidR="0065059F" w:rsidRDefault="0065059F" w:rsidP="00650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C3F32" w14:textId="5B19FEF4" w:rsidR="0065059F" w:rsidRDefault="0065059F" w:rsidP="0065059F">
    <w:pPr>
      <w:rPr>
        <w:rFonts w:ascii="Arial" w:hAnsi="Arial" w:cs="Arial"/>
        <w:i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i/>
      </w:rPr>
      <w:t>RoSBrd2021/12/14</w:t>
    </w:r>
  </w:p>
  <w:p w14:paraId="3C92D9A5" w14:textId="70E10A39" w:rsidR="0065059F" w:rsidRDefault="006505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7FF2"/>
    <w:multiLevelType w:val="hybridMultilevel"/>
    <w:tmpl w:val="6494FF72"/>
    <w:lvl w:ilvl="0" w:tplc="08090017">
      <w:start w:val="1"/>
      <w:numFmt w:val="lowerLetter"/>
      <w:lvlText w:val="%1)"/>
      <w:lvlJc w:val="left"/>
      <w:pPr>
        <w:ind w:left="720" w:firstLine="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6636B4"/>
    <w:multiLevelType w:val="hybridMultilevel"/>
    <w:tmpl w:val="4C084A68"/>
    <w:lvl w:ilvl="0" w:tplc="E9F62B2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B2F75"/>
    <w:multiLevelType w:val="hybridMultilevel"/>
    <w:tmpl w:val="E4B69AAC"/>
    <w:lvl w:ilvl="0" w:tplc="5C849C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00D80"/>
    <w:multiLevelType w:val="hybridMultilevel"/>
    <w:tmpl w:val="AA7AA7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06876"/>
    <w:multiLevelType w:val="hybridMultilevel"/>
    <w:tmpl w:val="78802884"/>
    <w:lvl w:ilvl="0" w:tplc="08090013">
      <w:start w:val="1"/>
      <w:numFmt w:val="upperRoman"/>
      <w:lvlText w:val="%1."/>
      <w:lvlJc w:val="right"/>
      <w:pPr>
        <w:ind w:left="720" w:firstLine="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C25FD9"/>
    <w:multiLevelType w:val="hybridMultilevel"/>
    <w:tmpl w:val="93163F76"/>
    <w:lvl w:ilvl="0" w:tplc="08090019">
      <w:start w:val="1"/>
      <w:numFmt w:val="lowerLetter"/>
      <w:lvlText w:val="%1."/>
      <w:lvlJc w:val="left"/>
      <w:pPr>
        <w:ind w:left="720" w:firstLine="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F767B3"/>
    <w:multiLevelType w:val="hybridMultilevel"/>
    <w:tmpl w:val="154C80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881D98"/>
    <w:multiLevelType w:val="hybridMultilevel"/>
    <w:tmpl w:val="F4422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506936"/>
    <w:multiLevelType w:val="hybridMultilevel"/>
    <w:tmpl w:val="788899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893F95"/>
    <w:multiLevelType w:val="hybridMultilevel"/>
    <w:tmpl w:val="E026C5C0"/>
    <w:lvl w:ilvl="0" w:tplc="08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0" w15:restartNumberingAfterBreak="0">
    <w:nsid w:val="5D793200"/>
    <w:multiLevelType w:val="hybridMultilevel"/>
    <w:tmpl w:val="3D3C893E"/>
    <w:lvl w:ilvl="0" w:tplc="F11C788E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8832D7"/>
    <w:multiLevelType w:val="hybridMultilevel"/>
    <w:tmpl w:val="7E32DF8C"/>
    <w:lvl w:ilvl="0" w:tplc="08090005">
      <w:start w:val="1"/>
      <w:numFmt w:val="bullet"/>
      <w:lvlText w:val=""/>
      <w:lvlJc w:val="left"/>
      <w:pPr>
        <w:ind w:left="720" w:firstLine="0"/>
      </w:pPr>
      <w:rPr>
        <w:rFonts w:ascii="Wingdings" w:hAnsi="Wingdings" w:hint="default"/>
        <w:b w:val="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0765FE9"/>
    <w:multiLevelType w:val="hybridMultilevel"/>
    <w:tmpl w:val="78061B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1"/>
  </w:num>
  <w:num w:numId="5">
    <w:abstractNumId w:val="4"/>
  </w:num>
  <w:num w:numId="6">
    <w:abstractNumId w:val="5"/>
  </w:num>
  <w:num w:numId="7">
    <w:abstractNumId w:val="3"/>
  </w:num>
  <w:num w:numId="8">
    <w:abstractNumId w:val="12"/>
  </w:num>
  <w:num w:numId="9">
    <w:abstractNumId w:val="7"/>
  </w:num>
  <w:num w:numId="10">
    <w:abstractNumId w:val="8"/>
  </w:num>
  <w:num w:numId="11">
    <w:abstractNumId w:val="6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8F4"/>
    <w:rsid w:val="00007232"/>
    <w:rsid w:val="00026352"/>
    <w:rsid w:val="00044DBA"/>
    <w:rsid w:val="000A2344"/>
    <w:rsid w:val="000C20E9"/>
    <w:rsid w:val="000F283B"/>
    <w:rsid w:val="0012363B"/>
    <w:rsid w:val="00127F2C"/>
    <w:rsid w:val="001549AD"/>
    <w:rsid w:val="0018440D"/>
    <w:rsid w:val="001B0654"/>
    <w:rsid w:val="001B0A8B"/>
    <w:rsid w:val="001B2EE2"/>
    <w:rsid w:val="001C13FA"/>
    <w:rsid w:val="001C1960"/>
    <w:rsid w:val="001C4D2D"/>
    <w:rsid w:val="001C7855"/>
    <w:rsid w:val="001E62AD"/>
    <w:rsid w:val="001F25CD"/>
    <w:rsid w:val="001F54FB"/>
    <w:rsid w:val="00205AD4"/>
    <w:rsid w:val="002062D0"/>
    <w:rsid w:val="0022682C"/>
    <w:rsid w:val="00254E2C"/>
    <w:rsid w:val="00267855"/>
    <w:rsid w:val="00270C5C"/>
    <w:rsid w:val="0028065B"/>
    <w:rsid w:val="002B5886"/>
    <w:rsid w:val="002D3AEF"/>
    <w:rsid w:val="00307713"/>
    <w:rsid w:val="003130F1"/>
    <w:rsid w:val="003430D9"/>
    <w:rsid w:val="0038580C"/>
    <w:rsid w:val="003A516A"/>
    <w:rsid w:val="003B6AEE"/>
    <w:rsid w:val="003C26A4"/>
    <w:rsid w:val="003E02FE"/>
    <w:rsid w:val="003E529A"/>
    <w:rsid w:val="00413DBE"/>
    <w:rsid w:val="00434D78"/>
    <w:rsid w:val="0043BAEB"/>
    <w:rsid w:val="004A33F0"/>
    <w:rsid w:val="005D4F97"/>
    <w:rsid w:val="005D6D56"/>
    <w:rsid w:val="0061196B"/>
    <w:rsid w:val="0063204E"/>
    <w:rsid w:val="0065059F"/>
    <w:rsid w:val="006772FE"/>
    <w:rsid w:val="006A51E0"/>
    <w:rsid w:val="006D5159"/>
    <w:rsid w:val="00762F8D"/>
    <w:rsid w:val="00774419"/>
    <w:rsid w:val="00777D60"/>
    <w:rsid w:val="007867E6"/>
    <w:rsid w:val="00792E0A"/>
    <w:rsid w:val="00794DAA"/>
    <w:rsid w:val="007D01C0"/>
    <w:rsid w:val="00806926"/>
    <w:rsid w:val="008542AB"/>
    <w:rsid w:val="0088417F"/>
    <w:rsid w:val="00894BDC"/>
    <w:rsid w:val="008B6E04"/>
    <w:rsid w:val="008D362D"/>
    <w:rsid w:val="00913A34"/>
    <w:rsid w:val="0098566A"/>
    <w:rsid w:val="009A70C1"/>
    <w:rsid w:val="009B2076"/>
    <w:rsid w:val="009F5357"/>
    <w:rsid w:val="00A10EE4"/>
    <w:rsid w:val="00A11743"/>
    <w:rsid w:val="00A2754F"/>
    <w:rsid w:val="00A34A97"/>
    <w:rsid w:val="00A37B55"/>
    <w:rsid w:val="00A64053"/>
    <w:rsid w:val="00A64EBF"/>
    <w:rsid w:val="00A66A67"/>
    <w:rsid w:val="00A8745A"/>
    <w:rsid w:val="00A91549"/>
    <w:rsid w:val="00A9516D"/>
    <w:rsid w:val="00A95760"/>
    <w:rsid w:val="00AD2111"/>
    <w:rsid w:val="00B22DC3"/>
    <w:rsid w:val="00B2340F"/>
    <w:rsid w:val="00BB2092"/>
    <w:rsid w:val="00BD3FCC"/>
    <w:rsid w:val="00C00709"/>
    <w:rsid w:val="00C7645B"/>
    <w:rsid w:val="00C8487B"/>
    <w:rsid w:val="00CD3C31"/>
    <w:rsid w:val="00CED7B9"/>
    <w:rsid w:val="00CF76C5"/>
    <w:rsid w:val="00D0321B"/>
    <w:rsid w:val="00D45318"/>
    <w:rsid w:val="00D55A2E"/>
    <w:rsid w:val="00D676FC"/>
    <w:rsid w:val="00D77601"/>
    <w:rsid w:val="00DB692E"/>
    <w:rsid w:val="00DD1949"/>
    <w:rsid w:val="00DD6840"/>
    <w:rsid w:val="00DF3503"/>
    <w:rsid w:val="00E308F4"/>
    <w:rsid w:val="00E30A3B"/>
    <w:rsid w:val="00E3759B"/>
    <w:rsid w:val="00E629D8"/>
    <w:rsid w:val="00E65BFF"/>
    <w:rsid w:val="00E87E9F"/>
    <w:rsid w:val="00EB3C10"/>
    <w:rsid w:val="00F23725"/>
    <w:rsid w:val="00F60DA9"/>
    <w:rsid w:val="00F73EA3"/>
    <w:rsid w:val="00F75879"/>
    <w:rsid w:val="00F87037"/>
    <w:rsid w:val="00FA0102"/>
    <w:rsid w:val="00FA2E6D"/>
    <w:rsid w:val="00FB1173"/>
    <w:rsid w:val="00FC2E03"/>
    <w:rsid w:val="015B9E4C"/>
    <w:rsid w:val="0193DE41"/>
    <w:rsid w:val="0304B1E6"/>
    <w:rsid w:val="03713C33"/>
    <w:rsid w:val="039D4379"/>
    <w:rsid w:val="03BDA9B1"/>
    <w:rsid w:val="03FE150A"/>
    <w:rsid w:val="05105CC1"/>
    <w:rsid w:val="065ECAA1"/>
    <w:rsid w:val="069C70ED"/>
    <w:rsid w:val="06F15D01"/>
    <w:rsid w:val="07269507"/>
    <w:rsid w:val="07CE1C7E"/>
    <w:rsid w:val="087EB417"/>
    <w:rsid w:val="0929E676"/>
    <w:rsid w:val="0A2839EE"/>
    <w:rsid w:val="0B1A8A52"/>
    <w:rsid w:val="0BE01C13"/>
    <w:rsid w:val="0C4269BA"/>
    <w:rsid w:val="0CED51D9"/>
    <w:rsid w:val="0D477628"/>
    <w:rsid w:val="0D81CAE5"/>
    <w:rsid w:val="0E4A06BD"/>
    <w:rsid w:val="0E4F5213"/>
    <w:rsid w:val="0E9651B0"/>
    <w:rsid w:val="10136287"/>
    <w:rsid w:val="117F2817"/>
    <w:rsid w:val="12195EBD"/>
    <w:rsid w:val="12DF528F"/>
    <w:rsid w:val="1320763B"/>
    <w:rsid w:val="13AADC6A"/>
    <w:rsid w:val="13B6B7AC"/>
    <w:rsid w:val="13F57046"/>
    <w:rsid w:val="142F0E8C"/>
    <w:rsid w:val="143FC917"/>
    <w:rsid w:val="1442F64A"/>
    <w:rsid w:val="14B36EDC"/>
    <w:rsid w:val="1575B0AA"/>
    <w:rsid w:val="15967BAF"/>
    <w:rsid w:val="16759E96"/>
    <w:rsid w:val="170A5ACA"/>
    <w:rsid w:val="199C6B38"/>
    <w:rsid w:val="1A323991"/>
    <w:rsid w:val="1A64B1CA"/>
    <w:rsid w:val="1A8DE09F"/>
    <w:rsid w:val="1B436359"/>
    <w:rsid w:val="1B4C2A03"/>
    <w:rsid w:val="1B4EE6DC"/>
    <w:rsid w:val="1C24D647"/>
    <w:rsid w:val="1C2B1C52"/>
    <w:rsid w:val="1C6CDAA2"/>
    <w:rsid w:val="1D2BFA19"/>
    <w:rsid w:val="1D6E7741"/>
    <w:rsid w:val="1D9C528C"/>
    <w:rsid w:val="1DDEDA14"/>
    <w:rsid w:val="1E8CCCAF"/>
    <w:rsid w:val="1F9CCC87"/>
    <w:rsid w:val="1FA4AD3A"/>
    <w:rsid w:val="20CD2BD6"/>
    <w:rsid w:val="20D3F34E"/>
    <w:rsid w:val="21CB9E70"/>
    <w:rsid w:val="21CCFFC6"/>
    <w:rsid w:val="22C8A511"/>
    <w:rsid w:val="231ABE5C"/>
    <w:rsid w:val="2521FA13"/>
    <w:rsid w:val="256B89F8"/>
    <w:rsid w:val="257600CA"/>
    <w:rsid w:val="25E2CBCB"/>
    <w:rsid w:val="26D55BB5"/>
    <w:rsid w:val="274AA8AE"/>
    <w:rsid w:val="2779D8F3"/>
    <w:rsid w:val="2841E8FC"/>
    <w:rsid w:val="284E2F6D"/>
    <w:rsid w:val="2893A14D"/>
    <w:rsid w:val="28D0B0F5"/>
    <w:rsid w:val="2BEFF0FF"/>
    <w:rsid w:val="2C010741"/>
    <w:rsid w:val="2C21361A"/>
    <w:rsid w:val="2C733814"/>
    <w:rsid w:val="2DA29152"/>
    <w:rsid w:val="2E26EE29"/>
    <w:rsid w:val="2E98CB38"/>
    <w:rsid w:val="2EFE5346"/>
    <w:rsid w:val="2F838266"/>
    <w:rsid w:val="30522744"/>
    <w:rsid w:val="3082DB5F"/>
    <w:rsid w:val="30B609B1"/>
    <w:rsid w:val="30DDEBA6"/>
    <w:rsid w:val="351F3A9D"/>
    <w:rsid w:val="35DB03FF"/>
    <w:rsid w:val="35E91231"/>
    <w:rsid w:val="35FF7298"/>
    <w:rsid w:val="361D8E15"/>
    <w:rsid w:val="368DC17A"/>
    <w:rsid w:val="36C151A6"/>
    <w:rsid w:val="37614622"/>
    <w:rsid w:val="3859A25C"/>
    <w:rsid w:val="38E3EE26"/>
    <w:rsid w:val="38F08EBC"/>
    <w:rsid w:val="393B8976"/>
    <w:rsid w:val="3A508A79"/>
    <w:rsid w:val="3AFA8638"/>
    <w:rsid w:val="3B0FD7F9"/>
    <w:rsid w:val="3C2276BC"/>
    <w:rsid w:val="3C379D2E"/>
    <w:rsid w:val="3DB738BF"/>
    <w:rsid w:val="3DCD17BA"/>
    <w:rsid w:val="3E4902BD"/>
    <w:rsid w:val="3EAD04D2"/>
    <w:rsid w:val="3F532FAA"/>
    <w:rsid w:val="41278ADF"/>
    <w:rsid w:val="430E7EDB"/>
    <w:rsid w:val="434F9288"/>
    <w:rsid w:val="450EDDF1"/>
    <w:rsid w:val="451F7325"/>
    <w:rsid w:val="4537F328"/>
    <w:rsid w:val="45C4B478"/>
    <w:rsid w:val="45D1895A"/>
    <w:rsid w:val="47F9B801"/>
    <w:rsid w:val="48BE8ECF"/>
    <w:rsid w:val="4A80439D"/>
    <w:rsid w:val="4A850144"/>
    <w:rsid w:val="4D2BFE6F"/>
    <w:rsid w:val="4D9FDA9C"/>
    <w:rsid w:val="4E042734"/>
    <w:rsid w:val="4E85676B"/>
    <w:rsid w:val="4EF437D5"/>
    <w:rsid w:val="4F604F30"/>
    <w:rsid w:val="4F9FF795"/>
    <w:rsid w:val="4FFDAE7D"/>
    <w:rsid w:val="5072A4A5"/>
    <w:rsid w:val="507B8289"/>
    <w:rsid w:val="50B07857"/>
    <w:rsid w:val="50D2E94F"/>
    <w:rsid w:val="516D6553"/>
    <w:rsid w:val="51AD9E93"/>
    <w:rsid w:val="51D32391"/>
    <w:rsid w:val="54023D22"/>
    <w:rsid w:val="569AF444"/>
    <w:rsid w:val="56FD1325"/>
    <w:rsid w:val="59B4053C"/>
    <w:rsid w:val="5BA2F3FA"/>
    <w:rsid w:val="5BF39785"/>
    <w:rsid w:val="5CD0447E"/>
    <w:rsid w:val="5D5575DE"/>
    <w:rsid w:val="5D6A2978"/>
    <w:rsid w:val="5EE99405"/>
    <w:rsid w:val="5EFB3CAF"/>
    <w:rsid w:val="608C50D4"/>
    <w:rsid w:val="62C0326D"/>
    <w:rsid w:val="63ED17FF"/>
    <w:rsid w:val="6422B109"/>
    <w:rsid w:val="655CFB78"/>
    <w:rsid w:val="679E34F9"/>
    <w:rsid w:val="69F7EFD6"/>
    <w:rsid w:val="6A1181C4"/>
    <w:rsid w:val="6A37983B"/>
    <w:rsid w:val="6A64B523"/>
    <w:rsid w:val="6B31C1FA"/>
    <w:rsid w:val="6BD3689C"/>
    <w:rsid w:val="6CCA9F29"/>
    <w:rsid w:val="6DA05619"/>
    <w:rsid w:val="6F7B89C2"/>
    <w:rsid w:val="6F9DC5FF"/>
    <w:rsid w:val="6FAD5F78"/>
    <w:rsid w:val="74396CBD"/>
    <w:rsid w:val="74AE7810"/>
    <w:rsid w:val="7586E78E"/>
    <w:rsid w:val="75CD3512"/>
    <w:rsid w:val="777DDA7D"/>
    <w:rsid w:val="785B2D55"/>
    <w:rsid w:val="78F41403"/>
    <w:rsid w:val="7A23F4C2"/>
    <w:rsid w:val="7A69265D"/>
    <w:rsid w:val="7B45BA2C"/>
    <w:rsid w:val="7B53C14C"/>
    <w:rsid w:val="7BAE66A0"/>
    <w:rsid w:val="7C7C2D91"/>
    <w:rsid w:val="7CE1E36C"/>
    <w:rsid w:val="7D01FAAE"/>
    <w:rsid w:val="7D4A7ABA"/>
    <w:rsid w:val="7D57134C"/>
    <w:rsid w:val="7EC947E4"/>
    <w:rsid w:val="7FCA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36F92"/>
  <w15:chartTrackingRefBased/>
  <w15:docId w15:val="{E51D3478-BFCD-4F35-BE3C-E6638494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1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16D"/>
    <w:rPr>
      <w:rFonts w:ascii="Segoe UI" w:eastAsia="Times New Roman" w:hAnsi="Segoe UI" w:cs="Segoe UI"/>
      <w:sz w:val="18"/>
      <w:szCs w:val="18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4A33F0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5D4F9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D4F97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A91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5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254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A7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0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0C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0C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13A3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6505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59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505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59F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1B2F6A103EF3429DF8374397BCCD88" ma:contentTypeVersion="7" ma:contentTypeDescription="Create a new document." ma:contentTypeScope="" ma:versionID="fdc417fcf39b67746b77a91f8cd1068c">
  <xsd:schema xmlns:xsd="http://www.w3.org/2001/XMLSchema" xmlns:xs="http://www.w3.org/2001/XMLSchema" xmlns:p="http://schemas.microsoft.com/office/2006/metadata/properties" xmlns:ns3="f4c34edc-f8e0-468e-9bad-bbf6f3f3c833" xmlns:ns4="9a2f17e4-748a-48c7-8f90-8acf9cff8e29" targetNamespace="http://schemas.microsoft.com/office/2006/metadata/properties" ma:root="true" ma:fieldsID="cc96050d04b0ede15c2b044df41910a6" ns3:_="" ns4:_="">
    <xsd:import namespace="f4c34edc-f8e0-468e-9bad-bbf6f3f3c833"/>
    <xsd:import namespace="9a2f17e4-748a-48c7-8f90-8acf9cff8e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34edc-f8e0-468e-9bad-bbf6f3f3c8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f17e4-748a-48c7-8f90-8acf9cff8e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3B1AD5-FE67-4C8C-8230-6336D90BA4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D6B9F8-F58D-4141-9A92-FEE7C99FE0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048376-0932-4790-8AF9-498DDF669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34edc-f8e0-468e-9bad-bbf6f3f3c833"/>
    <ds:schemaRef ds:uri="9a2f17e4-748a-48c7-8f90-8acf9cff8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C583C8-7601-443E-BC45-EF8668400F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879</Words>
  <Characters>5012</Characters>
  <Application>Microsoft Office Word</Application>
  <DocSecurity>0</DocSecurity>
  <Lines>41</Lines>
  <Paragraphs>11</Paragraphs>
  <ScaleCrop>false</ScaleCrop>
  <Company>Registers of Scotland</Company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Lucy</dc:creator>
  <cp:keywords/>
  <dc:description/>
  <cp:lastModifiedBy>Moscinski, Lucy</cp:lastModifiedBy>
  <cp:revision>4</cp:revision>
  <dcterms:created xsi:type="dcterms:W3CDTF">2021-11-25T09:09:00Z</dcterms:created>
  <dcterms:modified xsi:type="dcterms:W3CDTF">2022-03-17T12:18:00Z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0x0101007A1B2F6A103EF3429DF8374397BCCD88</vt:lpwstr>
  </property>
</Properties>
</file>