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450A" w14:textId="554B7311" w:rsidR="00E308F4" w:rsidRDefault="001B3D4D" w:rsidP="00186245">
      <w:pPr>
        <w:tabs>
          <w:tab w:val="left" w:pos="720"/>
          <w:tab w:val="left" w:pos="1440"/>
          <w:tab w:val="left" w:pos="2880"/>
          <w:tab w:val="left" w:pos="66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E308F4">
        <w:rPr>
          <w:rFonts w:ascii="Arial" w:hAnsi="Arial" w:cs="Arial"/>
          <w:b/>
        </w:rPr>
        <w:t>egisters of Scotland</w:t>
      </w:r>
    </w:p>
    <w:p w14:paraId="4EEC6347" w14:textId="77777777" w:rsidR="00E308F4" w:rsidRDefault="00E308F4" w:rsidP="00186245">
      <w:pPr>
        <w:jc w:val="center"/>
        <w:rPr>
          <w:rFonts w:ascii="Arial" w:hAnsi="Arial" w:cs="Arial"/>
          <w:b/>
        </w:rPr>
      </w:pPr>
    </w:p>
    <w:p w14:paraId="6F3F80CD" w14:textId="77777777" w:rsidR="00693F4E" w:rsidRPr="002F5E37" w:rsidRDefault="00693F4E" w:rsidP="00693F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 Board</w:t>
      </w:r>
    </w:p>
    <w:p w14:paraId="723D3E38" w14:textId="77777777" w:rsidR="00693F4E" w:rsidRDefault="00693F4E" w:rsidP="00693F4E">
      <w:pPr>
        <w:jc w:val="center"/>
        <w:rPr>
          <w:rFonts w:ascii="Arial" w:hAnsi="Arial" w:cs="Arial"/>
          <w:b/>
        </w:rPr>
      </w:pPr>
    </w:p>
    <w:p w14:paraId="3288CD07" w14:textId="16E5F199" w:rsidR="00693F4E" w:rsidRPr="000C435D" w:rsidRDefault="00693F4E" w:rsidP="00693F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6263B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="006263BB">
        <w:rPr>
          <w:rFonts w:ascii="Arial" w:hAnsi="Arial" w:cs="Arial"/>
          <w:b/>
        </w:rPr>
        <w:t>September</w:t>
      </w:r>
      <w:r>
        <w:rPr>
          <w:rFonts w:ascii="Arial" w:hAnsi="Arial" w:cs="Arial"/>
          <w:b/>
        </w:rPr>
        <w:t xml:space="preserve"> 2022</w:t>
      </w:r>
    </w:p>
    <w:p w14:paraId="452E418F" w14:textId="77777777" w:rsidR="00693F4E" w:rsidRPr="000C435D" w:rsidRDefault="00693F4E" w:rsidP="00693F4E">
      <w:pPr>
        <w:jc w:val="center"/>
        <w:rPr>
          <w:rFonts w:ascii="Arial" w:hAnsi="Arial" w:cs="Arial"/>
          <w:b/>
        </w:rPr>
      </w:pPr>
    </w:p>
    <w:p w14:paraId="1A95F7BF" w14:textId="575B34D8" w:rsidR="00693F4E" w:rsidRDefault="00693F4E" w:rsidP="00693F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risk register (KRR)</w:t>
      </w:r>
    </w:p>
    <w:p w14:paraId="0C80AF3D" w14:textId="77777777" w:rsidR="00E753D2" w:rsidRDefault="00E753D2" w:rsidP="00186245">
      <w:pPr>
        <w:jc w:val="center"/>
        <w:rPr>
          <w:rFonts w:ascii="Arial" w:hAnsi="Arial" w:cs="Arial"/>
          <w:b/>
        </w:rPr>
      </w:pPr>
    </w:p>
    <w:p w14:paraId="3FCF67CA" w14:textId="77777777" w:rsidR="007F2E21" w:rsidRDefault="007F2E21" w:rsidP="00186245">
      <w:pPr>
        <w:jc w:val="center"/>
        <w:rPr>
          <w:rFonts w:ascii="Arial" w:hAnsi="Arial" w:cs="Arial"/>
          <w:b/>
        </w:rPr>
      </w:pPr>
    </w:p>
    <w:p w14:paraId="12CD85CE" w14:textId="77777777" w:rsidR="00E308F4" w:rsidRDefault="00E308F4" w:rsidP="001862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</w:t>
      </w:r>
    </w:p>
    <w:p w14:paraId="7192E602" w14:textId="77777777" w:rsidR="00E308F4" w:rsidRDefault="00E308F4" w:rsidP="00186245">
      <w:pPr>
        <w:jc w:val="both"/>
        <w:rPr>
          <w:rFonts w:ascii="Arial" w:hAnsi="Arial" w:cs="Arial"/>
          <w:b/>
        </w:rPr>
      </w:pPr>
    </w:p>
    <w:p w14:paraId="5EC618DE" w14:textId="1488F87D" w:rsidR="00693F4E" w:rsidRPr="0087759C" w:rsidRDefault="00693F4E" w:rsidP="00693F4E">
      <w:pPr>
        <w:numPr>
          <w:ilvl w:val="0"/>
          <w:numId w:val="1"/>
        </w:numPr>
        <w:spacing w:after="240"/>
        <w:jc w:val="both"/>
        <w:rPr>
          <w:rFonts w:ascii="Arial" w:hAnsi="Arial" w:cs="Arial"/>
          <w:b/>
        </w:rPr>
      </w:pPr>
      <w:r w:rsidRPr="00CC7DFF">
        <w:rPr>
          <w:rFonts w:ascii="Arial" w:hAnsi="Arial" w:cs="Arial"/>
        </w:rPr>
        <w:t xml:space="preserve">The purpose of this paper is to provide </w:t>
      </w:r>
      <w:r>
        <w:rPr>
          <w:rFonts w:ascii="Arial" w:hAnsi="Arial" w:cs="Arial"/>
        </w:rPr>
        <w:t xml:space="preserve">the board </w:t>
      </w:r>
      <w:r w:rsidRPr="00CC7DFF">
        <w:rPr>
          <w:rFonts w:ascii="Arial" w:hAnsi="Arial" w:cs="Arial"/>
        </w:rPr>
        <w:t>with a</w:t>
      </w:r>
      <w:r>
        <w:rPr>
          <w:rFonts w:ascii="Arial" w:hAnsi="Arial" w:cs="Arial"/>
        </w:rPr>
        <w:t>n update</w:t>
      </w:r>
      <w:r w:rsidRPr="00CC7DFF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n</w:t>
      </w:r>
      <w:r w:rsidRPr="00CC7DFF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KRR </w:t>
      </w:r>
      <w:r w:rsidRPr="00CC7DFF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953725">
        <w:rPr>
          <w:rFonts w:ascii="Arial" w:hAnsi="Arial" w:cs="Arial"/>
        </w:rPr>
        <w:t>2</w:t>
      </w:r>
      <w:r w:rsidRPr="00CC7DFF">
        <w:rPr>
          <w:rFonts w:ascii="Arial" w:hAnsi="Arial" w:cs="Arial"/>
        </w:rPr>
        <w:t>-2</w:t>
      </w:r>
      <w:r w:rsidR="0095372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following EMT and </w:t>
      </w:r>
      <w:r w:rsidRPr="00722ABB">
        <w:rPr>
          <w:rFonts w:ascii="Arial" w:hAnsi="Arial" w:cs="Arial"/>
        </w:rPr>
        <w:t xml:space="preserve">Audit &amp; Risk Committee (ARC) </w:t>
      </w:r>
      <w:r>
        <w:rPr>
          <w:rFonts w:ascii="Arial" w:hAnsi="Arial" w:cs="Arial"/>
        </w:rPr>
        <w:t xml:space="preserve">reviews, continuous </w:t>
      </w:r>
      <w:r w:rsidRPr="008659F2">
        <w:rPr>
          <w:rFonts w:ascii="Arial" w:hAnsi="Arial" w:cs="Arial"/>
        </w:rPr>
        <w:t>Key Risk Owner (KRO)</w:t>
      </w:r>
      <w:r>
        <w:rPr>
          <w:rFonts w:ascii="Arial" w:hAnsi="Arial" w:cs="Arial"/>
        </w:rPr>
        <w:t xml:space="preserve"> reviews and the annual risk workshop. </w:t>
      </w:r>
    </w:p>
    <w:p w14:paraId="67FF23C4" w14:textId="77777777" w:rsidR="00693F4E" w:rsidRPr="006B1258" w:rsidRDefault="00693F4E" w:rsidP="00693F4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The paper supports the board in fulfilling its role to provide strategic advice to the Keeper and for its focus on setting a framework of prudent and effective controls that enables risk to be assessed and managed.</w:t>
      </w:r>
    </w:p>
    <w:p w14:paraId="4FE03013" w14:textId="77777777" w:rsidR="00E308F4" w:rsidRDefault="00E308F4" w:rsidP="00186245">
      <w:pPr>
        <w:jc w:val="both"/>
        <w:rPr>
          <w:rFonts w:ascii="Arial" w:hAnsi="Arial" w:cs="Arial"/>
          <w:b/>
        </w:rPr>
      </w:pPr>
    </w:p>
    <w:p w14:paraId="66A12F1A" w14:textId="77777777" w:rsidR="00E308F4" w:rsidRDefault="00E308F4" w:rsidP="0018624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Recommendation </w:t>
      </w:r>
    </w:p>
    <w:p w14:paraId="5098EF5B" w14:textId="77777777" w:rsidR="00E308F4" w:rsidRDefault="00E308F4" w:rsidP="00186245">
      <w:pPr>
        <w:jc w:val="both"/>
        <w:rPr>
          <w:rFonts w:ascii="Arial" w:hAnsi="Arial" w:cs="Arial"/>
        </w:rPr>
      </w:pPr>
    </w:p>
    <w:p w14:paraId="1F27D0BB" w14:textId="76619D2D" w:rsidR="00693F4E" w:rsidRPr="00D45110" w:rsidRDefault="00693F4E" w:rsidP="00693F4E">
      <w:pPr>
        <w:numPr>
          <w:ilvl w:val="0"/>
          <w:numId w:val="1"/>
        </w:num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RoS Board is requested to review the KRR summary at Annex 1 and advise the Keeper on the update. </w:t>
      </w:r>
    </w:p>
    <w:p w14:paraId="1F9D42C8" w14:textId="77777777" w:rsidR="00E308F4" w:rsidRDefault="00E308F4" w:rsidP="0018624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Background</w:t>
      </w:r>
    </w:p>
    <w:p w14:paraId="6F17BC4F" w14:textId="77777777" w:rsidR="00E308F4" w:rsidRDefault="00E308F4" w:rsidP="00186245">
      <w:pPr>
        <w:jc w:val="both"/>
        <w:rPr>
          <w:rFonts w:ascii="Arial" w:hAnsi="Arial" w:cs="Arial"/>
        </w:rPr>
      </w:pPr>
    </w:p>
    <w:p w14:paraId="536E0496" w14:textId="77777777" w:rsidR="00693F4E" w:rsidRDefault="00693F4E" w:rsidP="00693F4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22ABB">
        <w:rPr>
          <w:rFonts w:ascii="Arial" w:hAnsi="Arial" w:cs="Arial"/>
        </w:rPr>
        <w:t>RoS KRR contains the key risk scenarios that may affect delivery of our corporate plan objectives and the risk response strategies for these threats and opportunities. The KRR is a ‘live’ document which is reviewed and updated at least monthly by KRO</w:t>
      </w:r>
      <w:r>
        <w:rPr>
          <w:rFonts w:ascii="Arial" w:hAnsi="Arial" w:cs="Arial"/>
        </w:rPr>
        <w:t>s</w:t>
      </w:r>
      <w:r w:rsidRPr="00722ABB">
        <w:rPr>
          <w:rFonts w:ascii="Arial" w:hAnsi="Arial" w:cs="Arial"/>
        </w:rPr>
        <w:t xml:space="preserve"> and submitted to EMT for approval as part of their monthly corporate governance review process. The KRR is also submitted to RoS Board and ARC meetings for noting and/or advice as a summary report or as the RoS </w:t>
      </w:r>
      <w:r>
        <w:rPr>
          <w:rFonts w:ascii="Arial" w:hAnsi="Arial" w:cs="Arial"/>
        </w:rPr>
        <w:t>Assurance Framework</w:t>
      </w:r>
      <w:r w:rsidRPr="00722ABB">
        <w:rPr>
          <w:rFonts w:ascii="Arial" w:hAnsi="Arial" w:cs="Arial"/>
        </w:rPr>
        <w:t xml:space="preserve"> report. </w:t>
      </w:r>
    </w:p>
    <w:p w14:paraId="62435754" w14:textId="77777777" w:rsidR="00E308F4" w:rsidRDefault="00E308F4" w:rsidP="00186245">
      <w:pPr>
        <w:jc w:val="both"/>
        <w:rPr>
          <w:rFonts w:ascii="Arial" w:hAnsi="Arial" w:cs="Arial"/>
          <w:b/>
        </w:rPr>
      </w:pPr>
    </w:p>
    <w:p w14:paraId="20506239" w14:textId="77777777" w:rsidR="00DA5490" w:rsidRDefault="00DA5490" w:rsidP="00DA54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risk register (KRR)</w:t>
      </w:r>
    </w:p>
    <w:p w14:paraId="04540E3B" w14:textId="77777777" w:rsidR="00E308F4" w:rsidRDefault="00E308F4" w:rsidP="00186245">
      <w:pPr>
        <w:jc w:val="both"/>
        <w:rPr>
          <w:rFonts w:ascii="Arial" w:hAnsi="Arial" w:cs="Arial"/>
        </w:rPr>
      </w:pPr>
    </w:p>
    <w:p w14:paraId="28178F41" w14:textId="19707F67" w:rsidR="00DA5490" w:rsidRDefault="00DA5490" w:rsidP="00DA5490">
      <w:pPr>
        <w:pStyle w:val="NormalWeb"/>
        <w:numPr>
          <w:ilvl w:val="0"/>
          <w:numId w:val="1"/>
        </w:numPr>
        <w:spacing w:before="0" w:beforeAutospacing="0" w:after="160" w:afterAutospacing="0" w:line="259" w:lineRule="auto"/>
        <w:jc w:val="both"/>
        <w:rPr>
          <w:rFonts w:ascii="Arial" w:hAnsi="Arial" w:cs="Arial"/>
          <w:color w:val="000000"/>
        </w:rPr>
      </w:pPr>
      <w:r w:rsidRPr="00AC0B58">
        <w:rPr>
          <w:rFonts w:ascii="Arial" w:hAnsi="Arial" w:cs="Arial"/>
          <w:color w:val="000000"/>
        </w:rPr>
        <w:t xml:space="preserve">The paper </w:t>
      </w:r>
      <w:r>
        <w:rPr>
          <w:rFonts w:ascii="Arial" w:hAnsi="Arial" w:cs="Arial"/>
          <w:color w:val="000000"/>
        </w:rPr>
        <w:t>adopts</w:t>
      </w:r>
      <w:r w:rsidRPr="00AC0B5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 w:rsidRPr="00AC0B58">
        <w:rPr>
          <w:rFonts w:ascii="Arial" w:hAnsi="Arial" w:cs="Arial"/>
          <w:color w:val="000000"/>
        </w:rPr>
        <w:t xml:space="preserve"> ‘reporting by exception’ approach comprising 3 elements:</w:t>
      </w: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2830"/>
        <w:gridCol w:w="1701"/>
        <w:gridCol w:w="4678"/>
      </w:tblGrid>
      <w:tr w:rsidR="00DA5490" w14:paraId="3C229B05" w14:textId="77777777" w:rsidTr="00DA02E6">
        <w:trPr>
          <w:jc w:val="center"/>
        </w:trPr>
        <w:tc>
          <w:tcPr>
            <w:tcW w:w="2830" w:type="dxa"/>
          </w:tcPr>
          <w:p w14:paraId="1BAF945C" w14:textId="77777777" w:rsidR="00DA5490" w:rsidRPr="000244BD" w:rsidRDefault="00DA5490" w:rsidP="00DA02E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0244BD">
              <w:rPr>
                <w:rFonts w:ascii="Arial" w:hAnsi="Arial" w:cs="Arial"/>
                <w:b/>
                <w:bCs/>
              </w:rPr>
              <w:t>Reporting element</w:t>
            </w:r>
          </w:p>
        </w:tc>
        <w:tc>
          <w:tcPr>
            <w:tcW w:w="1701" w:type="dxa"/>
          </w:tcPr>
          <w:p w14:paraId="39DB5880" w14:textId="77777777" w:rsidR="00DA5490" w:rsidRPr="000244BD" w:rsidRDefault="00DA5490" w:rsidP="00DA02E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0244BD">
              <w:rPr>
                <w:rFonts w:ascii="Arial" w:hAnsi="Arial" w:cs="Arial"/>
                <w:b/>
                <w:bCs/>
              </w:rPr>
              <w:t>Frequency of reporting</w:t>
            </w:r>
          </w:p>
        </w:tc>
        <w:tc>
          <w:tcPr>
            <w:tcW w:w="4678" w:type="dxa"/>
          </w:tcPr>
          <w:p w14:paraId="2EDF007E" w14:textId="77777777" w:rsidR="00DA5490" w:rsidRPr="000244BD" w:rsidRDefault="00DA5490" w:rsidP="00DA02E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0244BD">
              <w:rPr>
                <w:rFonts w:ascii="Arial" w:hAnsi="Arial" w:cs="Arial"/>
                <w:b/>
                <w:bCs/>
              </w:rPr>
              <w:t>Board</w:t>
            </w:r>
            <w:r>
              <w:rPr>
                <w:rFonts w:ascii="Arial" w:hAnsi="Arial" w:cs="Arial"/>
                <w:b/>
                <w:bCs/>
              </w:rPr>
              <w:t xml:space="preserve"> input / ‘Ask of the Board’</w:t>
            </w:r>
          </w:p>
        </w:tc>
      </w:tr>
      <w:tr w:rsidR="00DA5490" w14:paraId="68FDAF5C" w14:textId="77777777" w:rsidTr="00DA02E6">
        <w:trPr>
          <w:jc w:val="center"/>
        </w:trPr>
        <w:tc>
          <w:tcPr>
            <w:tcW w:w="2830" w:type="dxa"/>
          </w:tcPr>
          <w:p w14:paraId="16A1DFF7" w14:textId="77777777" w:rsidR="00DA5490" w:rsidRPr="00A40146" w:rsidRDefault="00DA5490" w:rsidP="00DA02E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A40146">
              <w:rPr>
                <w:rFonts w:ascii="Arial" w:hAnsi="Arial" w:cs="Arial"/>
                <w:sz w:val="22"/>
                <w:szCs w:val="22"/>
              </w:rPr>
              <w:t>RoS Key Risk profile</w:t>
            </w:r>
          </w:p>
        </w:tc>
        <w:tc>
          <w:tcPr>
            <w:tcW w:w="1701" w:type="dxa"/>
          </w:tcPr>
          <w:p w14:paraId="5B19D5B4" w14:textId="77777777" w:rsidR="00DA5490" w:rsidRPr="00A40146" w:rsidRDefault="00DA5490" w:rsidP="00DA02E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146">
              <w:rPr>
                <w:rFonts w:ascii="Arial" w:hAnsi="Arial" w:cs="Arial"/>
                <w:sz w:val="22"/>
                <w:szCs w:val="22"/>
              </w:rPr>
              <w:t>Every Board meeting</w:t>
            </w:r>
          </w:p>
        </w:tc>
        <w:tc>
          <w:tcPr>
            <w:tcW w:w="4678" w:type="dxa"/>
            <w:vAlign w:val="center"/>
          </w:tcPr>
          <w:p w14:paraId="09284578" w14:textId="77777777" w:rsidR="00DA5490" w:rsidRPr="00A40146" w:rsidRDefault="00DA5490" w:rsidP="00DA02E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146">
              <w:rPr>
                <w:rFonts w:ascii="Arial" w:hAnsi="Arial" w:cs="Arial"/>
                <w:sz w:val="22"/>
                <w:szCs w:val="22"/>
              </w:rPr>
              <w:t xml:space="preserve">Advice on whether </w:t>
            </w:r>
            <w:r>
              <w:rPr>
                <w:rFonts w:ascii="Arial" w:hAnsi="Arial" w:cs="Arial"/>
                <w:sz w:val="22"/>
                <w:szCs w:val="22"/>
              </w:rPr>
              <w:t xml:space="preserve">strategic </w:t>
            </w:r>
            <w:r w:rsidRPr="00A40146">
              <w:rPr>
                <w:rFonts w:ascii="Arial" w:hAnsi="Arial" w:cs="Arial"/>
                <w:sz w:val="22"/>
                <w:szCs w:val="22"/>
              </w:rPr>
              <w:t xml:space="preserve">risk exposure continues to be captured by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A40146">
              <w:rPr>
                <w:rFonts w:ascii="Arial" w:hAnsi="Arial" w:cs="Arial"/>
                <w:sz w:val="22"/>
                <w:szCs w:val="22"/>
              </w:rPr>
              <w:t>KRR</w:t>
            </w:r>
          </w:p>
        </w:tc>
      </w:tr>
      <w:tr w:rsidR="00DA5490" w14:paraId="64E9C01B" w14:textId="77777777" w:rsidTr="00DA02E6">
        <w:trPr>
          <w:jc w:val="center"/>
        </w:trPr>
        <w:tc>
          <w:tcPr>
            <w:tcW w:w="2830" w:type="dxa"/>
          </w:tcPr>
          <w:p w14:paraId="673D410C" w14:textId="77777777" w:rsidR="00DA5490" w:rsidRPr="00A40146" w:rsidRDefault="00DA5490" w:rsidP="00DA02E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A40146">
              <w:rPr>
                <w:rFonts w:ascii="Arial" w:hAnsi="Arial" w:cs="Arial"/>
                <w:sz w:val="22"/>
                <w:szCs w:val="22"/>
              </w:rPr>
              <w:t>New/developing risks</w:t>
            </w:r>
          </w:p>
        </w:tc>
        <w:tc>
          <w:tcPr>
            <w:tcW w:w="1701" w:type="dxa"/>
          </w:tcPr>
          <w:p w14:paraId="33F56764" w14:textId="77777777" w:rsidR="00DA5490" w:rsidRPr="00A40146" w:rsidRDefault="00DA5490" w:rsidP="00DA02E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146">
              <w:rPr>
                <w:rFonts w:ascii="Arial" w:hAnsi="Arial" w:cs="Arial"/>
                <w:sz w:val="22"/>
                <w:szCs w:val="22"/>
              </w:rPr>
              <w:t>As relevant</w:t>
            </w:r>
          </w:p>
        </w:tc>
        <w:tc>
          <w:tcPr>
            <w:tcW w:w="4678" w:type="dxa"/>
            <w:vAlign w:val="center"/>
          </w:tcPr>
          <w:p w14:paraId="688C2EBC" w14:textId="77777777" w:rsidR="00DA5490" w:rsidRPr="00A40146" w:rsidRDefault="00DA5490" w:rsidP="00DA02E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146">
              <w:rPr>
                <w:rFonts w:ascii="Arial" w:hAnsi="Arial" w:cs="Arial"/>
                <w:sz w:val="22"/>
                <w:szCs w:val="22"/>
              </w:rPr>
              <w:t xml:space="preserve">Advice on </w:t>
            </w:r>
            <w:r>
              <w:rPr>
                <w:rFonts w:ascii="Arial" w:hAnsi="Arial" w:cs="Arial"/>
                <w:sz w:val="22"/>
                <w:szCs w:val="22"/>
              </w:rPr>
              <w:t xml:space="preserve">how risks have been assessed in terms of ‘causes - scenario -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impacts’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the risk response (i.e. controls)</w:t>
            </w:r>
          </w:p>
        </w:tc>
      </w:tr>
      <w:tr w:rsidR="00DA5490" w14:paraId="4B0B5292" w14:textId="77777777" w:rsidTr="00DA02E6">
        <w:trPr>
          <w:jc w:val="center"/>
        </w:trPr>
        <w:tc>
          <w:tcPr>
            <w:tcW w:w="2830" w:type="dxa"/>
          </w:tcPr>
          <w:p w14:paraId="767BB588" w14:textId="77777777" w:rsidR="00DA5490" w:rsidRPr="00A40146" w:rsidRDefault="00DA5490" w:rsidP="00DA02E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64E9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 xml:space="preserve"> Risks trending away from target risk score / controls not delivering anticipated risk response</w:t>
            </w:r>
          </w:p>
        </w:tc>
        <w:tc>
          <w:tcPr>
            <w:tcW w:w="1701" w:type="dxa"/>
          </w:tcPr>
          <w:p w14:paraId="02F00790" w14:textId="77777777" w:rsidR="00DA5490" w:rsidRPr="00A40146" w:rsidRDefault="00DA5490" w:rsidP="00DA02E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relevant</w:t>
            </w:r>
          </w:p>
        </w:tc>
        <w:tc>
          <w:tcPr>
            <w:tcW w:w="4678" w:type="dxa"/>
            <w:vAlign w:val="center"/>
          </w:tcPr>
          <w:p w14:paraId="4D5EDB2E" w14:textId="77777777" w:rsidR="00DA5490" w:rsidRPr="00A40146" w:rsidRDefault="00DA5490" w:rsidP="00DA02E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146">
              <w:rPr>
                <w:rFonts w:ascii="Arial" w:hAnsi="Arial" w:cs="Arial"/>
                <w:sz w:val="22"/>
                <w:szCs w:val="22"/>
              </w:rPr>
              <w:t xml:space="preserve">Advice on </w:t>
            </w:r>
            <w:r>
              <w:rPr>
                <w:rFonts w:ascii="Arial" w:hAnsi="Arial" w:cs="Arial"/>
                <w:sz w:val="22"/>
                <w:szCs w:val="22"/>
              </w:rPr>
              <w:t xml:space="preserve">how risks have been assessed in terms of ‘causes - scenario –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impacts’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the risk response (i.e. controls)</w:t>
            </w:r>
          </w:p>
        </w:tc>
      </w:tr>
    </w:tbl>
    <w:p w14:paraId="0BD4442D" w14:textId="4A8A2A78" w:rsidR="00DA5490" w:rsidRDefault="00DA5490" w:rsidP="00DA5490">
      <w:pPr>
        <w:pStyle w:val="NormalWeb"/>
        <w:spacing w:before="0" w:beforeAutospacing="0" w:after="160" w:afterAutospacing="0" w:line="259" w:lineRule="auto"/>
        <w:jc w:val="both"/>
        <w:rPr>
          <w:rFonts w:ascii="Arial" w:hAnsi="Arial" w:cs="Arial"/>
          <w:color w:val="000000"/>
        </w:rPr>
      </w:pPr>
    </w:p>
    <w:p w14:paraId="318C0886" w14:textId="77777777" w:rsidR="001B3D4D" w:rsidRDefault="001B3D4D" w:rsidP="00DA5490">
      <w:pPr>
        <w:pStyle w:val="NormalWeb"/>
        <w:spacing w:before="0" w:beforeAutospacing="0" w:after="160" w:afterAutospacing="0" w:line="259" w:lineRule="auto"/>
        <w:jc w:val="both"/>
        <w:rPr>
          <w:rFonts w:ascii="Arial" w:hAnsi="Arial" w:cs="Arial"/>
          <w:color w:val="000000"/>
        </w:rPr>
      </w:pPr>
    </w:p>
    <w:p w14:paraId="31389B1A" w14:textId="77777777" w:rsidR="001109F6" w:rsidRDefault="001109F6" w:rsidP="00DA5490">
      <w:pPr>
        <w:jc w:val="both"/>
        <w:rPr>
          <w:rFonts w:ascii="Arial" w:hAnsi="Arial" w:cs="Arial"/>
          <w:b/>
        </w:rPr>
      </w:pPr>
    </w:p>
    <w:p w14:paraId="00344609" w14:textId="77777777" w:rsidR="001109F6" w:rsidRDefault="001109F6" w:rsidP="00DA5490">
      <w:pPr>
        <w:jc w:val="both"/>
        <w:rPr>
          <w:rFonts w:ascii="Arial" w:hAnsi="Arial" w:cs="Arial"/>
          <w:b/>
        </w:rPr>
      </w:pPr>
    </w:p>
    <w:p w14:paraId="2FD28C18" w14:textId="63A30644" w:rsidR="00DA5490" w:rsidRDefault="0040425F" w:rsidP="00DA54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KRR</w:t>
      </w:r>
      <w:r w:rsidR="00DA5490">
        <w:rPr>
          <w:rFonts w:ascii="Arial" w:hAnsi="Arial" w:cs="Arial"/>
          <w:b/>
        </w:rPr>
        <w:t xml:space="preserve"> reporting element 1</w:t>
      </w:r>
      <w:r w:rsidR="0057655A">
        <w:rPr>
          <w:rFonts w:ascii="Arial" w:hAnsi="Arial" w:cs="Arial"/>
          <w:b/>
        </w:rPr>
        <w:t xml:space="preserve"> - RoS Key Risk Profile</w:t>
      </w:r>
    </w:p>
    <w:p w14:paraId="3B554D5C" w14:textId="77777777" w:rsidR="00DA5490" w:rsidRDefault="00DA5490" w:rsidP="00DA5490">
      <w:pPr>
        <w:jc w:val="both"/>
        <w:rPr>
          <w:rFonts w:ascii="Arial" w:hAnsi="Arial" w:cs="Arial"/>
          <w:b/>
        </w:rPr>
      </w:pPr>
    </w:p>
    <w:p w14:paraId="634F7926" w14:textId="43C9479F" w:rsidR="00DA5490" w:rsidRPr="005818AA" w:rsidRDefault="00DA5490" w:rsidP="00DA5490">
      <w:pPr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 summary of the KRR as at the date of this paper is at Annex 1. T</w:t>
      </w:r>
      <w:r w:rsidRPr="00100A80">
        <w:rPr>
          <w:rFonts w:ascii="Arial" w:hAnsi="Arial" w:cs="Arial"/>
        </w:rPr>
        <w:t xml:space="preserve">he </w:t>
      </w:r>
      <w:r w:rsidRPr="005B3DEC">
        <w:rPr>
          <w:rFonts w:ascii="Arial" w:hAnsi="Arial" w:cs="Arial"/>
        </w:rPr>
        <w:t>‘Live’</w:t>
      </w:r>
      <w:r w:rsidRPr="00100A80">
        <w:rPr>
          <w:rFonts w:ascii="Arial" w:hAnsi="Arial" w:cs="Arial"/>
        </w:rPr>
        <w:t xml:space="preserve"> KRR will be available to RoS Board at its </w:t>
      </w:r>
      <w:r w:rsidR="008074F8">
        <w:rPr>
          <w:rFonts w:ascii="Arial" w:hAnsi="Arial" w:cs="Arial"/>
        </w:rPr>
        <w:t>September</w:t>
      </w:r>
      <w:r w:rsidRPr="00100A8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100A80">
        <w:rPr>
          <w:rFonts w:ascii="Arial" w:hAnsi="Arial" w:cs="Arial"/>
        </w:rPr>
        <w:t xml:space="preserve"> meeting.</w:t>
      </w:r>
      <w:r w:rsidR="008074F8">
        <w:rPr>
          <w:rFonts w:ascii="Arial" w:hAnsi="Arial" w:cs="Arial"/>
        </w:rPr>
        <w:t xml:space="preserve"> The KRR incorporates</w:t>
      </w:r>
      <w:r w:rsidR="005818AA">
        <w:rPr>
          <w:rFonts w:ascii="Arial" w:hAnsi="Arial" w:cs="Arial"/>
        </w:rPr>
        <w:t xml:space="preserve"> outputs from the risk workshop in May, including agreed updates to risk scenarios (causes, scenario descriptions and impacts).</w:t>
      </w:r>
    </w:p>
    <w:p w14:paraId="7AE78489" w14:textId="1F26FA1F" w:rsidR="00DA5490" w:rsidRDefault="0040425F" w:rsidP="00DA54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KRR</w:t>
      </w:r>
      <w:r w:rsidR="00DA5490">
        <w:rPr>
          <w:rFonts w:ascii="Arial" w:hAnsi="Arial" w:cs="Arial"/>
          <w:b/>
        </w:rPr>
        <w:t xml:space="preserve"> reporting element 2</w:t>
      </w:r>
      <w:r w:rsidR="00573015">
        <w:rPr>
          <w:rFonts w:ascii="Arial" w:hAnsi="Arial" w:cs="Arial"/>
          <w:b/>
        </w:rPr>
        <w:t xml:space="preserve"> – New/developing risks</w:t>
      </w:r>
    </w:p>
    <w:p w14:paraId="1ED484E4" w14:textId="77777777" w:rsidR="00DA5490" w:rsidRDefault="00DA5490" w:rsidP="00DA5490">
      <w:pPr>
        <w:jc w:val="both"/>
        <w:rPr>
          <w:rFonts w:ascii="Arial" w:hAnsi="Arial" w:cs="Arial"/>
        </w:rPr>
      </w:pPr>
    </w:p>
    <w:p w14:paraId="59FAE1E3" w14:textId="6D39426D" w:rsidR="00DA5490" w:rsidRDefault="008074F8" w:rsidP="00DA549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 new/developing risks have been identified since the last update to the Board</w:t>
      </w:r>
      <w:r w:rsidR="00DA5490">
        <w:rPr>
          <w:rFonts w:ascii="Arial" w:hAnsi="Arial" w:cs="Arial"/>
        </w:rPr>
        <w:t xml:space="preserve">. </w:t>
      </w:r>
    </w:p>
    <w:p w14:paraId="08B8B11D" w14:textId="77777777" w:rsidR="00DA5490" w:rsidRDefault="00DA5490" w:rsidP="00DA5490">
      <w:pPr>
        <w:jc w:val="both"/>
        <w:rPr>
          <w:rFonts w:ascii="Arial" w:hAnsi="Arial" w:cs="Arial"/>
        </w:rPr>
      </w:pPr>
    </w:p>
    <w:p w14:paraId="306F4B60" w14:textId="5D860991" w:rsidR="00DA5490" w:rsidRPr="00E84F4E" w:rsidRDefault="0040425F" w:rsidP="00DA5490">
      <w:pPr>
        <w:pStyle w:val="ListParagraph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KRR</w:t>
      </w:r>
      <w:r w:rsidR="00DA5490" w:rsidRPr="00E84F4E">
        <w:rPr>
          <w:rFonts w:ascii="Arial" w:hAnsi="Arial" w:cs="Arial"/>
          <w:b/>
        </w:rPr>
        <w:t xml:space="preserve"> reporting element </w:t>
      </w:r>
      <w:r w:rsidR="00DA5490">
        <w:rPr>
          <w:rFonts w:ascii="Arial" w:hAnsi="Arial" w:cs="Arial"/>
          <w:b/>
        </w:rPr>
        <w:t>3</w:t>
      </w:r>
      <w:r w:rsidR="00573015">
        <w:rPr>
          <w:rFonts w:ascii="Arial" w:hAnsi="Arial" w:cs="Arial"/>
          <w:b/>
        </w:rPr>
        <w:t xml:space="preserve"> - </w:t>
      </w:r>
      <w:r w:rsidR="00573015" w:rsidRPr="00573015">
        <w:rPr>
          <w:rFonts w:ascii="Arial" w:hAnsi="Arial" w:cs="Arial"/>
          <w:b/>
        </w:rPr>
        <w:t>Risks trending away from target risk score / controls not delivering anticipated risk response</w:t>
      </w:r>
    </w:p>
    <w:p w14:paraId="38AB714D" w14:textId="77777777" w:rsidR="00DA5490" w:rsidRDefault="00DA5490" w:rsidP="00DA5490">
      <w:pPr>
        <w:jc w:val="both"/>
        <w:rPr>
          <w:rFonts w:ascii="Arial" w:hAnsi="Arial" w:cs="Arial"/>
        </w:rPr>
      </w:pPr>
    </w:p>
    <w:p w14:paraId="4FC5F52B" w14:textId="3C71A02B" w:rsidR="002310DB" w:rsidRPr="00CE3933" w:rsidRDefault="00CC5A23" w:rsidP="00DA549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Hlk112066955"/>
      <w:r>
        <w:rPr>
          <w:rFonts w:ascii="Arial" w:hAnsi="Arial" w:cs="Arial"/>
        </w:rPr>
        <w:t xml:space="preserve">The likelihood assessment for </w:t>
      </w:r>
      <w:r w:rsidR="006263BB">
        <w:rPr>
          <w:rFonts w:ascii="Arial" w:hAnsi="Arial" w:cs="Arial"/>
        </w:rPr>
        <w:t xml:space="preserve">Key Risk 1 Financial Health </w:t>
      </w:r>
      <w:r w:rsidR="00535C55">
        <w:rPr>
          <w:rFonts w:ascii="Arial" w:hAnsi="Arial" w:cs="Arial"/>
        </w:rPr>
        <w:t>(</w:t>
      </w:r>
      <w:r w:rsidR="00535C55" w:rsidRPr="00535C55">
        <w:rPr>
          <w:rFonts w:ascii="Arial" w:hAnsi="Arial" w:cs="Arial"/>
        </w:rPr>
        <w:t>There is a threat that RoS is unable to achieve and maintain a financial break-even position every year</w:t>
      </w:r>
      <w:r w:rsidR="00535C55">
        <w:rPr>
          <w:rFonts w:ascii="Arial" w:hAnsi="Arial" w:cs="Arial"/>
        </w:rPr>
        <w:t xml:space="preserve">) </w:t>
      </w:r>
      <w:r w:rsidR="006263BB">
        <w:rPr>
          <w:rFonts w:ascii="Arial" w:hAnsi="Arial" w:cs="Arial"/>
        </w:rPr>
        <w:t>was reviewed following the risk workshop, increasing from ‘</w:t>
      </w:r>
      <w:r w:rsidR="00535C55">
        <w:rPr>
          <w:rFonts w:ascii="Arial" w:hAnsi="Arial" w:cs="Arial"/>
        </w:rPr>
        <w:t xml:space="preserve">Low’ to ‘Medium’. The overall risk score increases from 8 to 12. </w:t>
      </w:r>
      <w:r w:rsidR="00CE3933">
        <w:rPr>
          <w:rFonts w:ascii="Arial" w:hAnsi="Arial" w:cs="Arial"/>
        </w:rPr>
        <w:t>Outputs from</w:t>
      </w:r>
      <w:r w:rsidR="00535C55">
        <w:rPr>
          <w:rFonts w:ascii="Arial" w:hAnsi="Arial" w:cs="Arial"/>
        </w:rPr>
        <w:t xml:space="preserve"> the workshop and awareness of the l</w:t>
      </w:r>
      <w:r w:rsidR="00535C55">
        <w:rPr>
          <w:rFonts w:ascii="Arial" w:hAnsi="Arial" w:cs="Arial"/>
          <w:color w:val="000000" w:themeColor="text1"/>
        </w:rPr>
        <w:t>evel of uncertainty in the economy, the property market and other area</w:t>
      </w:r>
      <w:r w:rsidR="00CE3933">
        <w:rPr>
          <w:rFonts w:ascii="Arial" w:hAnsi="Arial" w:cs="Arial"/>
          <w:color w:val="000000" w:themeColor="text1"/>
        </w:rPr>
        <w:t>s</w:t>
      </w:r>
      <w:r w:rsidR="00535C55">
        <w:rPr>
          <w:rFonts w:ascii="Arial" w:hAnsi="Arial" w:cs="Arial"/>
          <w:color w:val="000000" w:themeColor="text1"/>
        </w:rPr>
        <w:t xml:space="preserve"> prompted the re-assessment.</w:t>
      </w:r>
      <w:r w:rsidR="00CE3933">
        <w:rPr>
          <w:rFonts w:ascii="Arial" w:hAnsi="Arial" w:cs="Arial"/>
          <w:color w:val="000000" w:themeColor="text1"/>
        </w:rPr>
        <w:t xml:space="preserve"> The potential of this increased uncertainty to affect achieve</w:t>
      </w:r>
      <w:r w:rsidR="00285065">
        <w:rPr>
          <w:rFonts w:ascii="Arial" w:hAnsi="Arial" w:cs="Arial"/>
          <w:color w:val="000000" w:themeColor="text1"/>
        </w:rPr>
        <w:t>ment of</w:t>
      </w:r>
      <w:r w:rsidR="00CE3933">
        <w:rPr>
          <w:rFonts w:ascii="Arial" w:hAnsi="Arial" w:cs="Arial"/>
          <w:color w:val="000000" w:themeColor="text1"/>
        </w:rPr>
        <w:t xml:space="preserve"> a break-even position is reflected in the increased likelihood score.</w:t>
      </w:r>
    </w:p>
    <w:p w14:paraId="6CD733A9" w14:textId="77777777" w:rsidR="00CE3933" w:rsidRPr="00CE3933" w:rsidRDefault="00CE3933" w:rsidP="00CE3933">
      <w:pPr>
        <w:pStyle w:val="ListParagraph"/>
        <w:ind w:left="0"/>
        <w:jc w:val="both"/>
        <w:rPr>
          <w:rFonts w:ascii="Arial" w:hAnsi="Arial" w:cs="Arial"/>
        </w:rPr>
      </w:pPr>
    </w:p>
    <w:p w14:paraId="03B27141" w14:textId="57E594FE" w:rsidR="00CE3933" w:rsidRDefault="00CE3933" w:rsidP="00DA549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In response to this re-assessment the Finance team are considering a range of options for reducing expenditure should the need arise </w:t>
      </w:r>
      <w:r w:rsidR="00703D7F">
        <w:rPr>
          <w:rFonts w:ascii="Arial" w:hAnsi="Arial" w:cs="Arial"/>
          <w:color w:val="000000" w:themeColor="text1"/>
        </w:rPr>
        <w:t>because</w:t>
      </w:r>
      <w:r>
        <w:rPr>
          <w:rFonts w:ascii="Arial" w:hAnsi="Arial" w:cs="Arial"/>
          <w:color w:val="000000" w:themeColor="text1"/>
        </w:rPr>
        <w:t xml:space="preserve"> achieving a break-even position looks in doubt.</w:t>
      </w:r>
      <w:r w:rsidR="00F30E25">
        <w:rPr>
          <w:rFonts w:ascii="Arial" w:hAnsi="Arial" w:cs="Arial"/>
          <w:color w:val="000000" w:themeColor="text1"/>
        </w:rPr>
        <w:t xml:space="preserve"> These options are presented elsewhere in the September Board agenda.</w:t>
      </w:r>
      <w:r>
        <w:rPr>
          <w:rFonts w:ascii="Arial" w:hAnsi="Arial" w:cs="Arial"/>
          <w:color w:val="000000" w:themeColor="text1"/>
        </w:rPr>
        <w:t xml:space="preserve"> </w:t>
      </w:r>
    </w:p>
    <w:bookmarkEnd w:id="0"/>
    <w:p w14:paraId="772DB4B7" w14:textId="77777777" w:rsidR="00CC5A23" w:rsidRDefault="00CC5A23" w:rsidP="00CC5A23">
      <w:pPr>
        <w:pStyle w:val="ListParagraph"/>
        <w:ind w:left="0"/>
        <w:jc w:val="both"/>
        <w:rPr>
          <w:rFonts w:ascii="Arial" w:hAnsi="Arial" w:cs="Arial"/>
        </w:rPr>
      </w:pPr>
    </w:p>
    <w:p w14:paraId="24265F21" w14:textId="0694FD9E" w:rsidR="00DA5490" w:rsidRDefault="00DA5490" w:rsidP="00DA549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7759C">
        <w:rPr>
          <w:rFonts w:ascii="Arial" w:hAnsi="Arial" w:cs="Arial"/>
        </w:rPr>
        <w:t xml:space="preserve">Existing risk responses for all </w:t>
      </w:r>
      <w:r w:rsidR="002310DB">
        <w:rPr>
          <w:rFonts w:ascii="Arial" w:hAnsi="Arial" w:cs="Arial"/>
        </w:rPr>
        <w:t xml:space="preserve">other </w:t>
      </w:r>
      <w:r w:rsidRPr="0087759C">
        <w:rPr>
          <w:rFonts w:ascii="Arial" w:hAnsi="Arial" w:cs="Arial"/>
        </w:rPr>
        <w:t>key risks continue to deliver the expected risk reduction effects</w:t>
      </w:r>
      <w:r w:rsidR="001109F6">
        <w:rPr>
          <w:rFonts w:ascii="Arial" w:hAnsi="Arial" w:cs="Arial"/>
        </w:rPr>
        <w:t>, with no material exceptions to report in Q1</w:t>
      </w:r>
      <w:r w:rsidRPr="0087759C">
        <w:rPr>
          <w:rFonts w:ascii="Arial" w:hAnsi="Arial" w:cs="Arial"/>
        </w:rPr>
        <w:t>. The ongoing introduction of new controls and/or enhancements to existing controls is continuing as planned in each risk’s ‘route to target’.</w:t>
      </w:r>
    </w:p>
    <w:p w14:paraId="6F1C4BC1" w14:textId="77777777" w:rsidR="00DA5490" w:rsidRDefault="00DA5490" w:rsidP="00DA5490">
      <w:pPr>
        <w:pStyle w:val="ListParagraph"/>
        <w:ind w:left="0"/>
        <w:jc w:val="both"/>
        <w:rPr>
          <w:rFonts w:ascii="Arial" w:hAnsi="Arial" w:cs="Arial"/>
        </w:rPr>
      </w:pPr>
    </w:p>
    <w:p w14:paraId="2B9311FE" w14:textId="6EB2108D" w:rsidR="00DA5490" w:rsidRDefault="00DA5490" w:rsidP="00DA549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criticality and interdependence of our responses to Key Risks 3 </w:t>
      </w:r>
      <w:r w:rsidR="00CD3F71">
        <w:rPr>
          <w:rFonts w:ascii="Arial" w:hAnsi="Arial" w:cs="Arial"/>
        </w:rPr>
        <w:t>(</w:t>
      </w:r>
      <w:r>
        <w:rPr>
          <w:rFonts w:ascii="Arial" w:hAnsi="Arial" w:cs="Arial"/>
        </w:rPr>
        <w:t>Operational Capacity</w:t>
      </w:r>
      <w:r w:rsidR="00CD3F7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and 7 </w:t>
      </w:r>
      <w:r w:rsidR="00CD3F71">
        <w:rPr>
          <w:rFonts w:ascii="Arial" w:hAnsi="Arial" w:cs="Arial"/>
        </w:rPr>
        <w:t>(</w:t>
      </w:r>
      <w:r>
        <w:rPr>
          <w:rFonts w:ascii="Arial" w:hAnsi="Arial" w:cs="Arial"/>
        </w:rPr>
        <w:t>People &amp; Change</w:t>
      </w:r>
      <w:r w:rsidR="00CD3F7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CD3F71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noted </w:t>
      </w:r>
      <w:r w:rsidR="00CD3F71">
        <w:rPr>
          <w:rFonts w:ascii="Arial" w:hAnsi="Arial" w:cs="Arial"/>
        </w:rPr>
        <w:t>at the risk workshop and in the June Board meeting</w:t>
      </w:r>
      <w:r>
        <w:rPr>
          <w:rFonts w:ascii="Arial" w:hAnsi="Arial" w:cs="Arial"/>
        </w:rPr>
        <w:t xml:space="preserve">. EMT </w:t>
      </w:r>
      <w:r w:rsidR="00CD3F71">
        <w:rPr>
          <w:rFonts w:ascii="Arial" w:hAnsi="Arial" w:cs="Arial"/>
        </w:rPr>
        <w:t>continue</w:t>
      </w:r>
      <w:r>
        <w:rPr>
          <w:rFonts w:ascii="Arial" w:hAnsi="Arial" w:cs="Arial"/>
        </w:rPr>
        <w:t xml:space="preserve"> to focus on both risks, with </w:t>
      </w:r>
      <w:r w:rsidR="00E62A3D">
        <w:rPr>
          <w:rFonts w:ascii="Arial" w:hAnsi="Arial" w:cs="Arial"/>
        </w:rPr>
        <w:t xml:space="preserve">expanded EMT attendance at monthly </w:t>
      </w:r>
      <w:r>
        <w:rPr>
          <w:rFonts w:ascii="Arial" w:hAnsi="Arial" w:cs="Arial"/>
        </w:rPr>
        <w:t>risk reviews</w:t>
      </w:r>
      <w:r w:rsidR="00E62A3D">
        <w:rPr>
          <w:rFonts w:ascii="Arial" w:hAnsi="Arial" w:cs="Arial"/>
        </w:rPr>
        <w:t xml:space="preserve"> (in addition to Key Risk Owners).</w:t>
      </w:r>
      <w:r>
        <w:rPr>
          <w:rFonts w:ascii="Arial" w:hAnsi="Arial" w:cs="Arial"/>
        </w:rPr>
        <w:t xml:space="preserve"> </w:t>
      </w:r>
      <w:r w:rsidR="00E62A3D">
        <w:rPr>
          <w:rFonts w:ascii="Arial" w:hAnsi="Arial" w:cs="Arial"/>
        </w:rPr>
        <w:t>Risk reviews since the Ju</w:t>
      </w:r>
      <w:r w:rsidR="00251432">
        <w:rPr>
          <w:rFonts w:ascii="Arial" w:hAnsi="Arial" w:cs="Arial"/>
        </w:rPr>
        <w:t>ne</w:t>
      </w:r>
      <w:r w:rsidR="00E62A3D">
        <w:rPr>
          <w:rFonts w:ascii="Arial" w:hAnsi="Arial" w:cs="Arial"/>
        </w:rPr>
        <w:t xml:space="preserve"> Board meeting have</w:t>
      </w:r>
      <w:r>
        <w:rPr>
          <w:rFonts w:ascii="Arial" w:hAnsi="Arial" w:cs="Arial"/>
        </w:rPr>
        <w:t xml:space="preserve"> consider</w:t>
      </w:r>
      <w:r w:rsidR="00E62A3D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whether control interventions are sufficient to fully address each risk, the timing and sequence of interventions, and means of assurance to demonstrate the effectiveness of our interventions.</w:t>
      </w:r>
      <w:r w:rsidR="00CC5A23">
        <w:rPr>
          <w:rFonts w:ascii="Arial" w:hAnsi="Arial" w:cs="Arial"/>
        </w:rPr>
        <w:t xml:space="preserve"> EMT concluded that each risk</w:t>
      </w:r>
      <w:r w:rsidR="00251432">
        <w:rPr>
          <w:rFonts w:ascii="Arial" w:hAnsi="Arial" w:cs="Arial"/>
        </w:rPr>
        <w:t>’s</w:t>
      </w:r>
      <w:r w:rsidR="00CC5A23">
        <w:rPr>
          <w:rFonts w:ascii="Arial" w:hAnsi="Arial" w:cs="Arial"/>
        </w:rPr>
        <w:t xml:space="preserve"> ‘route to target’ remains realistic and proportionate</w:t>
      </w:r>
      <w:r w:rsidR="00251432">
        <w:rPr>
          <w:rFonts w:ascii="Arial" w:hAnsi="Arial" w:cs="Arial"/>
        </w:rPr>
        <w:t xml:space="preserve">, with progress continuing to be monitored monthly. </w:t>
      </w:r>
      <w:r w:rsidR="00CC5A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4425FFE2" w14:textId="77777777" w:rsidR="00DA5490" w:rsidRPr="00F315D3" w:rsidRDefault="00DA5490" w:rsidP="00DA5490">
      <w:pPr>
        <w:pStyle w:val="ListParagraph"/>
        <w:rPr>
          <w:rFonts w:ascii="Arial" w:hAnsi="Arial" w:cs="Arial"/>
        </w:rPr>
      </w:pPr>
    </w:p>
    <w:p w14:paraId="5622AE9C" w14:textId="112985A5" w:rsidR="004625B8" w:rsidRPr="00137FD7" w:rsidRDefault="004625B8" w:rsidP="002310DB">
      <w:pPr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137FD7">
        <w:rPr>
          <w:rFonts w:ascii="Arial" w:hAnsi="Arial" w:cs="Arial"/>
          <w:lang w:val="en-US"/>
        </w:rPr>
        <w:t xml:space="preserve">ARC </w:t>
      </w:r>
      <w:r w:rsidR="002310DB">
        <w:rPr>
          <w:rFonts w:ascii="Arial" w:hAnsi="Arial" w:cs="Arial"/>
          <w:lang w:val="en-US"/>
        </w:rPr>
        <w:t xml:space="preserve">reviewed </w:t>
      </w:r>
      <w:r w:rsidR="00251432">
        <w:rPr>
          <w:rFonts w:ascii="Arial" w:hAnsi="Arial" w:cs="Arial"/>
          <w:lang w:val="en-US"/>
        </w:rPr>
        <w:t xml:space="preserve">and noted updates to </w:t>
      </w:r>
      <w:r w:rsidR="002310DB">
        <w:rPr>
          <w:rFonts w:ascii="Arial" w:hAnsi="Arial" w:cs="Arial"/>
          <w:lang w:val="en-US"/>
        </w:rPr>
        <w:t xml:space="preserve">the </w:t>
      </w:r>
      <w:r w:rsidRPr="00137FD7">
        <w:rPr>
          <w:rFonts w:ascii="Arial" w:hAnsi="Arial" w:cs="Arial"/>
          <w:lang w:val="en-US"/>
        </w:rPr>
        <w:t xml:space="preserve">KRR Assurance Framework </w:t>
      </w:r>
      <w:r w:rsidR="006263BB">
        <w:rPr>
          <w:rFonts w:ascii="Arial" w:hAnsi="Arial" w:cs="Arial"/>
          <w:lang w:val="en-US"/>
        </w:rPr>
        <w:t>2022-27</w:t>
      </w:r>
      <w:r w:rsidRPr="00137FD7">
        <w:rPr>
          <w:rFonts w:ascii="Arial" w:hAnsi="Arial" w:cs="Arial"/>
          <w:lang w:val="en-US"/>
        </w:rPr>
        <w:t xml:space="preserve"> </w:t>
      </w:r>
      <w:r w:rsidR="002310DB">
        <w:rPr>
          <w:rFonts w:ascii="Arial" w:hAnsi="Arial" w:cs="Arial"/>
          <w:lang w:val="en-US"/>
        </w:rPr>
        <w:t xml:space="preserve">at their </w:t>
      </w:r>
      <w:r>
        <w:rPr>
          <w:rFonts w:ascii="Arial" w:hAnsi="Arial" w:cs="Arial"/>
          <w:lang w:val="en-US"/>
        </w:rPr>
        <w:t>August</w:t>
      </w:r>
      <w:r w:rsidRPr="00137FD7">
        <w:rPr>
          <w:rFonts w:ascii="Arial" w:hAnsi="Arial" w:cs="Arial"/>
          <w:lang w:val="en-US"/>
        </w:rPr>
        <w:t xml:space="preserve"> 202</w:t>
      </w:r>
      <w:r>
        <w:rPr>
          <w:rFonts w:ascii="Arial" w:hAnsi="Arial" w:cs="Arial"/>
          <w:lang w:val="en-US"/>
        </w:rPr>
        <w:t>2</w:t>
      </w:r>
      <w:r w:rsidR="002310DB">
        <w:rPr>
          <w:rFonts w:ascii="Arial" w:hAnsi="Arial" w:cs="Arial"/>
          <w:lang w:val="en-US"/>
        </w:rPr>
        <w:t xml:space="preserve"> meeting.</w:t>
      </w:r>
    </w:p>
    <w:p w14:paraId="2161171F" w14:textId="04FED818" w:rsidR="00E308F4" w:rsidRPr="00DA5490" w:rsidRDefault="006263BB" w:rsidP="0018624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The </w:t>
      </w:r>
      <w:r w:rsidR="00DA5490" w:rsidRPr="00137FD7">
        <w:rPr>
          <w:rFonts w:ascii="Arial" w:hAnsi="Arial" w:cs="Arial"/>
          <w:lang w:val="en-US"/>
        </w:rPr>
        <w:t xml:space="preserve">KRR </w:t>
      </w:r>
      <w:r>
        <w:rPr>
          <w:rFonts w:ascii="Arial" w:hAnsi="Arial" w:cs="Arial"/>
          <w:lang w:val="en-US"/>
        </w:rPr>
        <w:t xml:space="preserve">and Assurance Framework </w:t>
      </w:r>
      <w:r w:rsidR="00DA5490" w:rsidRPr="00137FD7">
        <w:rPr>
          <w:rFonts w:ascii="Arial" w:hAnsi="Arial" w:cs="Arial"/>
          <w:lang w:val="en-US"/>
        </w:rPr>
        <w:t>202</w:t>
      </w:r>
      <w:r w:rsidR="00DA5490">
        <w:rPr>
          <w:rFonts w:ascii="Arial" w:hAnsi="Arial" w:cs="Arial"/>
          <w:lang w:val="en-US"/>
        </w:rPr>
        <w:t>2</w:t>
      </w:r>
      <w:r w:rsidR="00DA5490" w:rsidRPr="00137FD7">
        <w:rPr>
          <w:rFonts w:ascii="Arial" w:hAnsi="Arial" w:cs="Arial"/>
          <w:lang w:val="en-US"/>
        </w:rPr>
        <w:t>-202</w:t>
      </w:r>
      <w:r w:rsidR="00DA5490">
        <w:rPr>
          <w:rFonts w:ascii="Arial" w:hAnsi="Arial" w:cs="Arial"/>
          <w:lang w:val="en-US"/>
        </w:rPr>
        <w:t>7</w:t>
      </w:r>
      <w:r w:rsidR="00DA5490" w:rsidRPr="00137FD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are</w:t>
      </w:r>
      <w:r w:rsidR="00DA5490" w:rsidRPr="00137FD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now ‘live’ </w:t>
      </w:r>
      <w:r w:rsidR="00DA5490" w:rsidRPr="00137FD7">
        <w:rPr>
          <w:rFonts w:ascii="Arial" w:hAnsi="Arial" w:cs="Arial"/>
          <w:lang w:val="en-US"/>
        </w:rPr>
        <w:t>for ARC, RoS Board and EMT ongoing review and oversight.</w:t>
      </w:r>
    </w:p>
    <w:p w14:paraId="58F577C3" w14:textId="77777777" w:rsidR="001109F6" w:rsidRDefault="001109F6" w:rsidP="00186245">
      <w:pPr>
        <w:jc w:val="both"/>
        <w:rPr>
          <w:rFonts w:ascii="Arial" w:hAnsi="Arial" w:cs="Arial"/>
          <w:b/>
        </w:rPr>
      </w:pPr>
    </w:p>
    <w:p w14:paraId="4DE9E3A2" w14:textId="4DBFFA63" w:rsidR="00E308F4" w:rsidRDefault="00E308F4" w:rsidP="001862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Conclusion</w:t>
      </w:r>
    </w:p>
    <w:p w14:paraId="20CE9B70" w14:textId="77777777" w:rsidR="00E308F4" w:rsidRDefault="00E308F4" w:rsidP="00186245">
      <w:pPr>
        <w:jc w:val="both"/>
        <w:rPr>
          <w:rFonts w:ascii="Arial" w:hAnsi="Arial" w:cs="Arial"/>
        </w:rPr>
      </w:pPr>
    </w:p>
    <w:p w14:paraId="7DDE3302" w14:textId="04A06AEB" w:rsidR="00DA5490" w:rsidRPr="005B165A" w:rsidRDefault="00DA5490" w:rsidP="00DA549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B165A">
        <w:rPr>
          <w:rFonts w:ascii="Arial" w:hAnsi="Arial" w:cs="Arial"/>
        </w:rPr>
        <w:t>RoS Board to re</w:t>
      </w:r>
      <w:r>
        <w:rPr>
          <w:rFonts w:ascii="Arial" w:hAnsi="Arial" w:cs="Arial"/>
        </w:rPr>
        <w:t xml:space="preserve">view the KRR update and </w:t>
      </w:r>
      <w:r w:rsidRPr="005B165A">
        <w:rPr>
          <w:rFonts w:ascii="Arial" w:hAnsi="Arial" w:cs="Arial"/>
        </w:rPr>
        <w:t>Annex</w:t>
      </w:r>
      <w:r w:rsidR="008074F8">
        <w:rPr>
          <w:rFonts w:ascii="Arial" w:hAnsi="Arial" w:cs="Arial"/>
        </w:rPr>
        <w:t xml:space="preserve"> </w:t>
      </w:r>
      <w:r w:rsidRPr="005B165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and </w:t>
      </w:r>
      <w:r w:rsidRPr="005B165A">
        <w:rPr>
          <w:rFonts w:ascii="Arial" w:hAnsi="Arial" w:cs="Arial"/>
        </w:rPr>
        <w:t>consider the background, topic matter and recommendations in this paper for advice to the Keeper</w:t>
      </w:r>
      <w:r>
        <w:rPr>
          <w:rFonts w:ascii="Arial" w:hAnsi="Arial" w:cs="Arial"/>
        </w:rPr>
        <w:t xml:space="preserve"> and EMT.</w:t>
      </w:r>
    </w:p>
    <w:p w14:paraId="47191557" w14:textId="77777777" w:rsidR="00DA5490" w:rsidRDefault="00DA5490" w:rsidP="00DA5490">
      <w:pPr>
        <w:ind w:left="1440" w:hanging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Head of Enterprise Risk Management</w:t>
      </w:r>
    </w:p>
    <w:p w14:paraId="2854729D" w14:textId="77777777" w:rsidR="00DA5490" w:rsidRDefault="00DA5490" w:rsidP="00DA5490">
      <w:pPr>
        <w:ind w:left="1440" w:hanging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Corporate</w:t>
      </w:r>
    </w:p>
    <w:p w14:paraId="4ABDB9DD" w14:textId="488EF085" w:rsidR="00A60A96" w:rsidRDefault="00DA5490" w:rsidP="00DA5490">
      <w:pPr>
        <w:ind w:left="1440" w:hanging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 August 2022</w:t>
      </w:r>
    </w:p>
    <w:p w14:paraId="2EADE7BF" w14:textId="77777777" w:rsidR="00A60A96" w:rsidRDefault="00A60A96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4E99FE8" w14:textId="77777777" w:rsidR="00A60A96" w:rsidRDefault="00A60A96" w:rsidP="00A60A96">
      <w:pPr>
        <w:spacing w:before="240" w:after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Annex 1a Key Risk Register Infographic</w:t>
      </w:r>
    </w:p>
    <w:p w14:paraId="51A8634B" w14:textId="77777777" w:rsidR="00A60A96" w:rsidRDefault="00A60A96" w:rsidP="00A60A96">
      <w:r>
        <w:rPr>
          <w:noProof/>
        </w:rPr>
        <w:drawing>
          <wp:inline distT="0" distB="0" distL="0" distR="0" wp14:anchorId="51D7B00B" wp14:editId="5A896F16">
            <wp:extent cx="5731510" cy="5196840"/>
            <wp:effectExtent l="0" t="0" r="2540" b="3810"/>
            <wp:docPr id="4" name="Picture 4" descr="Chart, table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table, treemap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9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6102F" w14:textId="6E117B77" w:rsidR="00A60A96" w:rsidRDefault="00A60A96">
      <w:pPr>
        <w:spacing w:after="160" w:line="259" w:lineRule="auto"/>
      </w:pPr>
      <w:r>
        <w:br w:type="page"/>
      </w:r>
    </w:p>
    <w:p w14:paraId="26765FBC" w14:textId="77777777" w:rsidR="00A60A96" w:rsidRDefault="00A60A96" w:rsidP="00A60A96">
      <w:pPr>
        <w:spacing w:after="160" w:line="259" w:lineRule="auto"/>
        <w:sectPr w:rsidR="00A60A96" w:rsidSect="00FF3CB9">
          <w:headerReference w:type="first" r:id="rId9"/>
          <w:pgSz w:w="11906" w:h="16838"/>
          <w:pgMar w:top="426" w:right="1440" w:bottom="1276" w:left="1440" w:header="850" w:footer="850" w:gutter="0"/>
          <w:cols w:space="708"/>
          <w:titlePg/>
          <w:docGrid w:linePitch="360"/>
        </w:sectPr>
      </w:pPr>
    </w:p>
    <w:p w14:paraId="1C716E8D" w14:textId="77777777" w:rsidR="00A60A96" w:rsidRDefault="00A60A96" w:rsidP="00A60A96">
      <w:pPr>
        <w:spacing w:before="240" w:after="240"/>
      </w:pPr>
      <w:r>
        <w:rPr>
          <w:rFonts w:ascii="Arial" w:hAnsi="Arial" w:cs="Arial"/>
          <w:b/>
          <w:bCs/>
          <w:sz w:val="22"/>
          <w:szCs w:val="22"/>
        </w:rPr>
        <w:lastRenderedPageBreak/>
        <w:t>Annex 1b Key Risk Register Matrix</w:t>
      </w:r>
    </w:p>
    <w:p w14:paraId="4DA364A2" w14:textId="2BCD9310" w:rsidR="001000EB" w:rsidRPr="0053200F" w:rsidRDefault="00A60A96" w:rsidP="00A60A96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2B8D4FC" wp14:editId="27CF8570">
            <wp:extent cx="7374331" cy="5216769"/>
            <wp:effectExtent l="0" t="0" r="0" b="3175"/>
            <wp:docPr id="3" name="Picture 3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treemap ch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8667" cy="524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00EB" w:rsidRPr="0053200F" w:rsidSect="00A60A96">
      <w:pgSz w:w="16838" w:h="11906" w:orient="landscape"/>
      <w:pgMar w:top="1440" w:right="425" w:bottom="1440" w:left="1276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3BA0" w14:textId="77777777" w:rsidR="00DF1AA6" w:rsidRDefault="00DF1AA6" w:rsidP="003D7944">
      <w:r>
        <w:separator/>
      </w:r>
    </w:p>
  </w:endnote>
  <w:endnote w:type="continuationSeparator" w:id="0">
    <w:p w14:paraId="0EDAEF7A" w14:textId="77777777" w:rsidR="00DF1AA6" w:rsidRDefault="00DF1AA6" w:rsidP="003D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86DE0" w14:textId="77777777" w:rsidR="00DF1AA6" w:rsidRDefault="00DF1AA6" w:rsidP="003D7944">
      <w:r>
        <w:separator/>
      </w:r>
    </w:p>
  </w:footnote>
  <w:footnote w:type="continuationSeparator" w:id="0">
    <w:p w14:paraId="4B7634CC" w14:textId="77777777" w:rsidR="00DF1AA6" w:rsidRDefault="00DF1AA6" w:rsidP="003D7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EF31" w14:textId="6BB33BF7" w:rsidR="00FF3CB9" w:rsidRDefault="00093EF7">
    <w:pPr>
      <w:pStyle w:val="Header"/>
    </w:pPr>
    <w:r>
      <w:tab/>
    </w:r>
    <w:r>
      <w:tab/>
    </w:r>
    <w:r>
      <w:rPr>
        <w:rFonts w:ascii="Arial" w:hAnsi="Arial" w:cs="Arial"/>
        <w:i/>
      </w:rPr>
      <w:t>RoSBrd2022/</w:t>
    </w:r>
    <w:r w:rsidRPr="00186C74">
      <w:rPr>
        <w:rFonts w:ascii="Arial" w:hAnsi="Arial" w:cs="Arial"/>
        <w:i/>
      </w:rPr>
      <w:t>09/</w:t>
    </w:r>
    <w:r>
      <w:rPr>
        <w:rFonts w:ascii="Arial" w:hAnsi="Arial" w:cs="Arial"/>
        <w:i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36B4"/>
    <w:multiLevelType w:val="hybridMultilevel"/>
    <w:tmpl w:val="2A1266F2"/>
    <w:lvl w:ilvl="0" w:tplc="E9F62B2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4FB9"/>
    <w:multiLevelType w:val="hybridMultilevel"/>
    <w:tmpl w:val="2ACA16C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2F75"/>
    <w:multiLevelType w:val="hybridMultilevel"/>
    <w:tmpl w:val="F09660FC"/>
    <w:lvl w:ilvl="0" w:tplc="1D3AB9D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2005E1"/>
    <w:multiLevelType w:val="hybridMultilevel"/>
    <w:tmpl w:val="1F649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93F95"/>
    <w:multiLevelType w:val="hybridMultilevel"/>
    <w:tmpl w:val="E026C5C0"/>
    <w:lvl w:ilvl="0" w:tplc="08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570229B8"/>
    <w:multiLevelType w:val="hybridMultilevel"/>
    <w:tmpl w:val="1C0A3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E791E"/>
    <w:multiLevelType w:val="hybridMultilevel"/>
    <w:tmpl w:val="7778C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95B3F"/>
    <w:multiLevelType w:val="multilevel"/>
    <w:tmpl w:val="6974F95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837529815">
    <w:abstractNumId w:val="0"/>
  </w:num>
  <w:num w:numId="2" w16cid:durableId="14961595">
    <w:abstractNumId w:val="4"/>
  </w:num>
  <w:num w:numId="3" w16cid:durableId="1639258089">
    <w:abstractNumId w:val="5"/>
  </w:num>
  <w:num w:numId="4" w16cid:durableId="593051406">
    <w:abstractNumId w:val="3"/>
  </w:num>
  <w:num w:numId="5" w16cid:durableId="1772823548">
    <w:abstractNumId w:val="2"/>
  </w:num>
  <w:num w:numId="6" w16cid:durableId="863322483">
    <w:abstractNumId w:val="6"/>
  </w:num>
  <w:num w:numId="7" w16cid:durableId="1339307139">
    <w:abstractNumId w:val="7"/>
  </w:num>
  <w:num w:numId="8" w16cid:durableId="1787263323">
    <w:abstractNumId w:val="1"/>
  </w:num>
  <w:num w:numId="9" w16cid:durableId="5865006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8F4"/>
    <w:rsid w:val="00041D1C"/>
    <w:rsid w:val="00044DBA"/>
    <w:rsid w:val="00093EF7"/>
    <w:rsid w:val="000A7F07"/>
    <w:rsid w:val="000C20E9"/>
    <w:rsid w:val="000D505C"/>
    <w:rsid w:val="00101837"/>
    <w:rsid w:val="00105682"/>
    <w:rsid w:val="001109F6"/>
    <w:rsid w:val="0012639F"/>
    <w:rsid w:val="001371E8"/>
    <w:rsid w:val="001549AD"/>
    <w:rsid w:val="00186245"/>
    <w:rsid w:val="001B2EE2"/>
    <w:rsid w:val="001B3D4D"/>
    <w:rsid w:val="001E3F70"/>
    <w:rsid w:val="00202132"/>
    <w:rsid w:val="002310DB"/>
    <w:rsid w:val="00236EFE"/>
    <w:rsid w:val="00251432"/>
    <w:rsid w:val="00256F15"/>
    <w:rsid w:val="002576E7"/>
    <w:rsid w:val="00280C53"/>
    <w:rsid w:val="00285065"/>
    <w:rsid w:val="002A6CB9"/>
    <w:rsid w:val="002B5886"/>
    <w:rsid w:val="002E4AF7"/>
    <w:rsid w:val="002E5703"/>
    <w:rsid w:val="003019CB"/>
    <w:rsid w:val="00327F4C"/>
    <w:rsid w:val="0034239F"/>
    <w:rsid w:val="00367C3A"/>
    <w:rsid w:val="00394DAE"/>
    <w:rsid w:val="003C26A4"/>
    <w:rsid w:val="003D7944"/>
    <w:rsid w:val="003E529A"/>
    <w:rsid w:val="0040425F"/>
    <w:rsid w:val="00412C20"/>
    <w:rsid w:val="004254B3"/>
    <w:rsid w:val="0045069E"/>
    <w:rsid w:val="004625B8"/>
    <w:rsid w:val="004721F9"/>
    <w:rsid w:val="00473FD1"/>
    <w:rsid w:val="004A33F0"/>
    <w:rsid w:val="004C44FC"/>
    <w:rsid w:val="004D453A"/>
    <w:rsid w:val="004F4967"/>
    <w:rsid w:val="00531024"/>
    <w:rsid w:val="0053200F"/>
    <w:rsid w:val="00535C55"/>
    <w:rsid w:val="00571F60"/>
    <w:rsid w:val="00573015"/>
    <w:rsid w:val="0057655A"/>
    <w:rsid w:val="005818AA"/>
    <w:rsid w:val="0059119A"/>
    <w:rsid w:val="005A0CF6"/>
    <w:rsid w:val="005C08A5"/>
    <w:rsid w:val="006102A8"/>
    <w:rsid w:val="006263BB"/>
    <w:rsid w:val="00655EC5"/>
    <w:rsid w:val="006747CA"/>
    <w:rsid w:val="00693F4E"/>
    <w:rsid w:val="00703D7F"/>
    <w:rsid w:val="0076244E"/>
    <w:rsid w:val="007657E5"/>
    <w:rsid w:val="00777D60"/>
    <w:rsid w:val="0078175F"/>
    <w:rsid w:val="007967FE"/>
    <w:rsid w:val="007F2E21"/>
    <w:rsid w:val="008074F8"/>
    <w:rsid w:val="008A2160"/>
    <w:rsid w:val="008B6E04"/>
    <w:rsid w:val="008C272A"/>
    <w:rsid w:val="008D6760"/>
    <w:rsid w:val="0093050E"/>
    <w:rsid w:val="00952DC2"/>
    <w:rsid w:val="00953725"/>
    <w:rsid w:val="00A56D2D"/>
    <w:rsid w:val="00A60A96"/>
    <w:rsid w:val="00A838F8"/>
    <w:rsid w:val="00A8745A"/>
    <w:rsid w:val="00A9516D"/>
    <w:rsid w:val="00AB0006"/>
    <w:rsid w:val="00AB5CAC"/>
    <w:rsid w:val="00AB716C"/>
    <w:rsid w:val="00AC3153"/>
    <w:rsid w:val="00AD2111"/>
    <w:rsid w:val="00AE45CB"/>
    <w:rsid w:val="00AF4679"/>
    <w:rsid w:val="00B23594"/>
    <w:rsid w:val="00B505FF"/>
    <w:rsid w:val="00B6597E"/>
    <w:rsid w:val="00B7051C"/>
    <w:rsid w:val="00BA1550"/>
    <w:rsid w:val="00BD3FCC"/>
    <w:rsid w:val="00C056F9"/>
    <w:rsid w:val="00C4342A"/>
    <w:rsid w:val="00C841C2"/>
    <w:rsid w:val="00C95CF4"/>
    <w:rsid w:val="00CB5650"/>
    <w:rsid w:val="00CC5A23"/>
    <w:rsid w:val="00CD3F71"/>
    <w:rsid w:val="00CE3933"/>
    <w:rsid w:val="00CF67B9"/>
    <w:rsid w:val="00CF76C5"/>
    <w:rsid w:val="00D027CA"/>
    <w:rsid w:val="00D45318"/>
    <w:rsid w:val="00D5179E"/>
    <w:rsid w:val="00D65B9F"/>
    <w:rsid w:val="00D90B9D"/>
    <w:rsid w:val="00D92CFA"/>
    <w:rsid w:val="00DA5490"/>
    <w:rsid w:val="00DF1AA6"/>
    <w:rsid w:val="00E308F4"/>
    <w:rsid w:val="00E44EE5"/>
    <w:rsid w:val="00E61647"/>
    <w:rsid w:val="00E62A3D"/>
    <w:rsid w:val="00E66C54"/>
    <w:rsid w:val="00E753D2"/>
    <w:rsid w:val="00EB4D05"/>
    <w:rsid w:val="00F17166"/>
    <w:rsid w:val="00F17DF1"/>
    <w:rsid w:val="00F215A1"/>
    <w:rsid w:val="00F30E25"/>
    <w:rsid w:val="00F60DA9"/>
    <w:rsid w:val="00F75879"/>
    <w:rsid w:val="00F90C4E"/>
    <w:rsid w:val="00F9432D"/>
    <w:rsid w:val="00FA2E6D"/>
    <w:rsid w:val="00FB6AE2"/>
    <w:rsid w:val="00FE5B07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6EA799"/>
  <w15:chartTrackingRefBased/>
  <w15:docId w15:val="{072E5374-B4B0-4522-9543-AA4DBA05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1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6D"/>
    <w:rPr>
      <w:rFonts w:ascii="Segoe UI" w:eastAsia="Times New Roman" w:hAnsi="Segoe UI" w:cs="Segoe UI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A33F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D7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9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D7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94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25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1647"/>
    <w:pPr>
      <w:ind w:left="720"/>
      <w:contextualSpacing/>
    </w:pPr>
  </w:style>
  <w:style w:type="table" w:styleId="TableGrid">
    <w:name w:val="Table Grid"/>
    <w:basedOn w:val="TableNormal"/>
    <w:uiPriority w:val="39"/>
    <w:rsid w:val="007F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10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102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93F4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9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BD30AB62EBB4BB8F77D34B4E30928" ma:contentTypeVersion="18" ma:contentTypeDescription="Create a new document." ma:contentTypeScope="" ma:versionID="c95ba3cc7f602b7cf66164b339a4857f">
  <xsd:schema xmlns:xsd="http://www.w3.org/2001/XMLSchema" xmlns:xs="http://www.w3.org/2001/XMLSchema" xmlns:p="http://schemas.microsoft.com/office/2006/metadata/properties" xmlns:ns2="749e5fac-903c-4f54-b772-d5039bed2904" xmlns:ns3="08ec327b-62ea-4682-ae88-0e534027c155" targetNamespace="http://schemas.microsoft.com/office/2006/metadata/properties" ma:root="true" ma:fieldsID="e7b0580980bb71b5bed80598dc7a2272" ns2:_="" ns3:_="">
    <xsd:import namespace="749e5fac-903c-4f54-b772-d5039bed2904"/>
    <xsd:import namespace="08ec327b-62ea-4682-ae88-0e534027c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e5fac-903c-4f54-b772-d5039bed2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b6e87e7-308f-4358-92c8-6ffa535dc8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c327b-62ea-4682-ae88-0e534027c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228d177-508c-4897-85ef-23050ac240bc}" ma:internalName="TaxCatchAll" ma:showField="CatchAllData" ma:web="08ec327b-62ea-4682-ae88-0e534027c1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ec327b-62ea-4682-ae88-0e534027c155" xsi:nil="true"/>
    <lcf76f155ced4ddcb4097134ff3c332f xmlns="749e5fac-903c-4f54-b772-d5039bed29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3A268D-746E-40D2-8F9C-5857CE0534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3303CC-30E8-4DC1-A09E-3E5DCEA2AA01}"/>
</file>

<file path=customXml/itemProps3.xml><?xml version="1.0" encoding="utf-8"?>
<ds:datastoreItem xmlns:ds="http://schemas.openxmlformats.org/officeDocument/2006/customXml" ds:itemID="{ABB02607-301D-412C-B75B-198B42700765}"/>
</file>

<file path=customXml/itemProps4.xml><?xml version="1.0" encoding="utf-8"?>
<ds:datastoreItem xmlns:ds="http://schemas.openxmlformats.org/officeDocument/2006/customXml" ds:itemID="{481C0824-E5A3-4773-A2D4-D38897AE1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Registers of Scotland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Lucy</dc:creator>
  <cp:keywords/>
  <dc:description/>
  <cp:lastModifiedBy>Livingstone, Mags</cp:lastModifiedBy>
  <cp:revision>36</cp:revision>
  <dcterms:created xsi:type="dcterms:W3CDTF">2020-01-16T16:14:00Z</dcterms:created>
  <dcterms:modified xsi:type="dcterms:W3CDTF">2022-12-16T16:11:00Z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0x01010069ABD30AB62EBB4BB8F77D34B4E30928</vt:lpwstr>
  </property>
</Properties>
</file>