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450A" w14:textId="3D554F8A" w:rsidR="00E308F4" w:rsidRDefault="00E308F4" w:rsidP="00186245">
      <w:pPr>
        <w:tabs>
          <w:tab w:val="left" w:pos="720"/>
          <w:tab w:val="left" w:pos="1440"/>
          <w:tab w:val="left" w:pos="2880"/>
          <w:tab w:val="left" w:pos="6660"/>
        </w:tabs>
        <w:jc w:val="center"/>
        <w:rPr>
          <w:rFonts w:ascii="Arial" w:hAnsi="Arial" w:cs="Arial"/>
          <w:b/>
        </w:rPr>
      </w:pPr>
      <w:r>
        <w:rPr>
          <w:rFonts w:ascii="Arial" w:hAnsi="Arial" w:cs="Arial"/>
          <w:b/>
        </w:rPr>
        <w:t>Registers of Scotland</w:t>
      </w:r>
    </w:p>
    <w:p w14:paraId="4EEC6347" w14:textId="77777777" w:rsidR="00E308F4" w:rsidRDefault="00E308F4" w:rsidP="00186245">
      <w:pPr>
        <w:jc w:val="center"/>
        <w:rPr>
          <w:rFonts w:ascii="Arial" w:hAnsi="Arial" w:cs="Arial"/>
          <w:b/>
        </w:rPr>
      </w:pPr>
    </w:p>
    <w:p w14:paraId="5DA9820B" w14:textId="092B1C74" w:rsidR="00E308F4" w:rsidRPr="002F5E37" w:rsidRDefault="00E578F7" w:rsidP="00186245">
      <w:pPr>
        <w:jc w:val="center"/>
        <w:rPr>
          <w:rFonts w:ascii="Arial" w:hAnsi="Arial" w:cs="Arial"/>
          <w:b/>
        </w:rPr>
      </w:pPr>
      <w:r>
        <w:rPr>
          <w:rFonts w:ascii="Arial" w:hAnsi="Arial" w:cs="Arial"/>
          <w:b/>
        </w:rPr>
        <w:t>RoS Board</w:t>
      </w:r>
    </w:p>
    <w:p w14:paraId="4AEEC560" w14:textId="77777777" w:rsidR="00E308F4" w:rsidRDefault="00E308F4" w:rsidP="00186245">
      <w:pPr>
        <w:jc w:val="center"/>
        <w:rPr>
          <w:rFonts w:ascii="Arial" w:hAnsi="Arial" w:cs="Arial"/>
          <w:b/>
        </w:rPr>
      </w:pPr>
    </w:p>
    <w:p w14:paraId="4516C47F" w14:textId="6E8980CE" w:rsidR="00E308F4" w:rsidRPr="000C435D" w:rsidRDefault="00E578F7" w:rsidP="00186245">
      <w:pPr>
        <w:jc w:val="center"/>
        <w:rPr>
          <w:rFonts w:ascii="Arial" w:hAnsi="Arial" w:cs="Arial"/>
          <w:b/>
        </w:rPr>
      </w:pPr>
      <w:r>
        <w:rPr>
          <w:rFonts w:ascii="Arial" w:hAnsi="Arial" w:cs="Arial"/>
          <w:b/>
        </w:rPr>
        <w:t>13 December 2022</w:t>
      </w:r>
    </w:p>
    <w:p w14:paraId="157D2710" w14:textId="77777777" w:rsidR="00E308F4" w:rsidRPr="000C435D" w:rsidRDefault="00E308F4" w:rsidP="00186245">
      <w:pPr>
        <w:jc w:val="center"/>
        <w:rPr>
          <w:rFonts w:ascii="Arial" w:hAnsi="Arial" w:cs="Arial"/>
          <w:b/>
        </w:rPr>
      </w:pPr>
    </w:p>
    <w:p w14:paraId="5DD9C844" w14:textId="0F7C3137" w:rsidR="00E578F7" w:rsidRDefault="00E578F7" w:rsidP="00E578F7">
      <w:pPr>
        <w:jc w:val="center"/>
        <w:rPr>
          <w:rFonts w:ascii="Arial" w:hAnsi="Arial" w:cs="Arial"/>
          <w:b/>
        </w:rPr>
      </w:pPr>
      <w:r>
        <w:rPr>
          <w:rFonts w:ascii="Arial" w:hAnsi="Arial" w:cs="Arial"/>
          <w:b/>
        </w:rPr>
        <w:t xml:space="preserve">Key risk register (KRR) </w:t>
      </w:r>
      <w:r w:rsidR="00FC75B5">
        <w:rPr>
          <w:rFonts w:ascii="Arial" w:hAnsi="Arial" w:cs="Arial"/>
          <w:b/>
        </w:rPr>
        <w:t>&amp;</w:t>
      </w:r>
      <w:r>
        <w:rPr>
          <w:rFonts w:ascii="Arial" w:hAnsi="Arial" w:cs="Arial"/>
          <w:b/>
        </w:rPr>
        <w:t xml:space="preserve"> Annual Risk Management Policy review</w:t>
      </w:r>
    </w:p>
    <w:p w14:paraId="0C80AF3D" w14:textId="77777777" w:rsidR="00E753D2" w:rsidRDefault="00E753D2" w:rsidP="00186245">
      <w:pPr>
        <w:jc w:val="center"/>
        <w:rPr>
          <w:rFonts w:ascii="Arial" w:hAnsi="Arial" w:cs="Arial"/>
          <w:b/>
        </w:rPr>
      </w:pPr>
    </w:p>
    <w:p w14:paraId="3FCF67CA" w14:textId="77777777" w:rsidR="007F2E21" w:rsidRDefault="007F2E21" w:rsidP="00186245">
      <w:pPr>
        <w:jc w:val="center"/>
        <w:rPr>
          <w:rFonts w:ascii="Arial" w:hAnsi="Arial" w:cs="Arial"/>
          <w:b/>
        </w:rPr>
      </w:pPr>
    </w:p>
    <w:p w14:paraId="12CD85CE" w14:textId="77777777" w:rsidR="00E308F4" w:rsidRDefault="00E308F4" w:rsidP="00186245">
      <w:pPr>
        <w:jc w:val="both"/>
        <w:rPr>
          <w:rFonts w:ascii="Arial" w:hAnsi="Arial" w:cs="Arial"/>
          <w:b/>
        </w:rPr>
      </w:pPr>
      <w:r>
        <w:rPr>
          <w:rFonts w:ascii="Arial" w:hAnsi="Arial" w:cs="Arial"/>
          <w:b/>
        </w:rPr>
        <w:t>Purpose</w:t>
      </w:r>
    </w:p>
    <w:p w14:paraId="7192E602" w14:textId="77777777" w:rsidR="00E308F4" w:rsidRDefault="00E308F4" w:rsidP="00186245">
      <w:pPr>
        <w:jc w:val="both"/>
        <w:rPr>
          <w:rFonts w:ascii="Arial" w:hAnsi="Arial" w:cs="Arial"/>
          <w:b/>
        </w:rPr>
      </w:pPr>
    </w:p>
    <w:p w14:paraId="7897DE8A" w14:textId="3CBF5985" w:rsidR="00FC75B5" w:rsidRPr="0087759C" w:rsidRDefault="00FC75B5" w:rsidP="00FC75B5">
      <w:pPr>
        <w:numPr>
          <w:ilvl w:val="0"/>
          <w:numId w:val="1"/>
        </w:numPr>
        <w:spacing w:after="240"/>
        <w:jc w:val="both"/>
        <w:rPr>
          <w:rFonts w:ascii="Arial" w:hAnsi="Arial" w:cs="Arial"/>
          <w:b/>
        </w:rPr>
      </w:pPr>
      <w:r w:rsidRPr="00CC7DFF">
        <w:rPr>
          <w:rFonts w:ascii="Arial" w:hAnsi="Arial" w:cs="Arial"/>
        </w:rPr>
        <w:t xml:space="preserve">The purpose of this paper is to provide </w:t>
      </w:r>
      <w:r>
        <w:rPr>
          <w:rFonts w:ascii="Arial" w:hAnsi="Arial" w:cs="Arial"/>
        </w:rPr>
        <w:t xml:space="preserve">the board </w:t>
      </w:r>
      <w:r w:rsidRPr="00CC7DFF">
        <w:rPr>
          <w:rFonts w:ascii="Arial" w:hAnsi="Arial" w:cs="Arial"/>
        </w:rPr>
        <w:t>with a</w:t>
      </w:r>
      <w:r>
        <w:rPr>
          <w:rFonts w:ascii="Arial" w:hAnsi="Arial" w:cs="Arial"/>
        </w:rPr>
        <w:t>n update</w:t>
      </w:r>
      <w:r w:rsidRPr="00CC7DFF">
        <w:rPr>
          <w:rFonts w:ascii="Arial" w:hAnsi="Arial" w:cs="Arial"/>
        </w:rPr>
        <w:t xml:space="preserve"> o</w:t>
      </w:r>
      <w:r>
        <w:rPr>
          <w:rFonts w:ascii="Arial" w:hAnsi="Arial" w:cs="Arial"/>
        </w:rPr>
        <w:t>n</w:t>
      </w:r>
      <w:r w:rsidRPr="00CC7DFF">
        <w:rPr>
          <w:rFonts w:ascii="Arial" w:hAnsi="Arial" w:cs="Arial"/>
        </w:rPr>
        <w:t xml:space="preserve"> the </w:t>
      </w:r>
      <w:r>
        <w:rPr>
          <w:rFonts w:ascii="Arial" w:hAnsi="Arial" w:cs="Arial"/>
        </w:rPr>
        <w:t xml:space="preserve">KRR </w:t>
      </w:r>
      <w:r w:rsidRPr="00CC7DFF">
        <w:rPr>
          <w:rFonts w:ascii="Arial" w:hAnsi="Arial" w:cs="Arial"/>
        </w:rPr>
        <w:t>20</w:t>
      </w:r>
      <w:r>
        <w:rPr>
          <w:rFonts w:ascii="Arial" w:hAnsi="Arial" w:cs="Arial"/>
        </w:rPr>
        <w:t>22</w:t>
      </w:r>
      <w:r w:rsidRPr="00CC7DFF">
        <w:rPr>
          <w:rFonts w:ascii="Arial" w:hAnsi="Arial" w:cs="Arial"/>
        </w:rPr>
        <w:t>-2</w:t>
      </w:r>
      <w:r>
        <w:rPr>
          <w:rFonts w:ascii="Arial" w:hAnsi="Arial" w:cs="Arial"/>
        </w:rPr>
        <w:t xml:space="preserve">7 following EMT and </w:t>
      </w:r>
      <w:r w:rsidRPr="00722ABB">
        <w:rPr>
          <w:rFonts w:ascii="Arial" w:hAnsi="Arial" w:cs="Arial"/>
        </w:rPr>
        <w:t xml:space="preserve">Audit &amp; Risk Committee (ARC) </w:t>
      </w:r>
      <w:r>
        <w:rPr>
          <w:rFonts w:ascii="Arial" w:hAnsi="Arial" w:cs="Arial"/>
        </w:rPr>
        <w:t xml:space="preserve">reviews, continuous </w:t>
      </w:r>
      <w:r w:rsidRPr="008659F2">
        <w:rPr>
          <w:rFonts w:ascii="Arial" w:hAnsi="Arial" w:cs="Arial"/>
        </w:rPr>
        <w:t>Key Risk Owner (KRO)</w:t>
      </w:r>
      <w:r>
        <w:rPr>
          <w:rFonts w:ascii="Arial" w:hAnsi="Arial" w:cs="Arial"/>
        </w:rPr>
        <w:t xml:space="preserve"> reviews. </w:t>
      </w:r>
    </w:p>
    <w:p w14:paraId="75414AF7" w14:textId="77777777" w:rsidR="00FC75B5" w:rsidRPr="006B1258" w:rsidRDefault="00FC75B5" w:rsidP="00FC75B5">
      <w:pPr>
        <w:pStyle w:val="NormalWeb"/>
        <w:numPr>
          <w:ilvl w:val="0"/>
          <w:numId w:val="1"/>
        </w:numPr>
        <w:spacing w:before="0" w:beforeAutospacing="0" w:after="0" w:afterAutospacing="0"/>
        <w:jc w:val="both"/>
        <w:rPr>
          <w:rFonts w:ascii="Arial" w:hAnsi="Arial" w:cs="Arial"/>
        </w:rPr>
      </w:pPr>
      <w:r>
        <w:rPr>
          <w:rFonts w:ascii="Arial" w:hAnsi="Arial" w:cs="Arial"/>
          <w:color w:val="000000"/>
        </w:rPr>
        <w:t>The paper supports the board in fulfilling its role to provide strategic advice to the Keeper and for its focus on setting a framework of prudent and effective controls that enables risk to be assessed and managed.</w:t>
      </w:r>
    </w:p>
    <w:p w14:paraId="4FE03013" w14:textId="77777777" w:rsidR="00E308F4" w:rsidRDefault="00E308F4" w:rsidP="00186245">
      <w:pPr>
        <w:jc w:val="both"/>
        <w:rPr>
          <w:rFonts w:ascii="Arial" w:hAnsi="Arial" w:cs="Arial"/>
          <w:b/>
        </w:rPr>
      </w:pPr>
    </w:p>
    <w:p w14:paraId="66A12F1A" w14:textId="77777777" w:rsidR="00E308F4" w:rsidRDefault="00E308F4" w:rsidP="00186245">
      <w:pPr>
        <w:jc w:val="both"/>
        <w:rPr>
          <w:rFonts w:ascii="Arial" w:hAnsi="Arial" w:cs="Arial"/>
        </w:rPr>
      </w:pPr>
      <w:r>
        <w:rPr>
          <w:rFonts w:ascii="Arial" w:hAnsi="Arial" w:cs="Arial"/>
          <w:b/>
        </w:rPr>
        <w:t xml:space="preserve">Recommendation </w:t>
      </w:r>
    </w:p>
    <w:p w14:paraId="5098EF5B" w14:textId="77777777" w:rsidR="00E308F4" w:rsidRDefault="00E308F4" w:rsidP="00186245">
      <w:pPr>
        <w:jc w:val="both"/>
        <w:rPr>
          <w:rFonts w:ascii="Arial" w:hAnsi="Arial" w:cs="Arial"/>
        </w:rPr>
      </w:pPr>
    </w:p>
    <w:p w14:paraId="0C9682A7" w14:textId="521B0139" w:rsidR="00FC75B5" w:rsidRPr="00FC75B5" w:rsidRDefault="00FC75B5" w:rsidP="00FC75B5">
      <w:pPr>
        <w:numPr>
          <w:ilvl w:val="0"/>
          <w:numId w:val="1"/>
        </w:numPr>
        <w:spacing w:after="240"/>
        <w:jc w:val="both"/>
        <w:rPr>
          <w:rFonts w:ascii="Arial" w:hAnsi="Arial" w:cs="Arial"/>
          <w:b/>
        </w:rPr>
      </w:pPr>
      <w:r>
        <w:rPr>
          <w:rFonts w:ascii="Arial" w:hAnsi="Arial" w:cs="Arial"/>
        </w:rPr>
        <w:t xml:space="preserve">RoS Board is requested to review the KRR summary at Annex 1 and advise the Keeper on the update. </w:t>
      </w:r>
    </w:p>
    <w:p w14:paraId="6EC1E5E4" w14:textId="5671EE10" w:rsidR="00D90B9D" w:rsidRPr="00FC75B5" w:rsidRDefault="00FC75B5" w:rsidP="004A78D9">
      <w:pPr>
        <w:numPr>
          <w:ilvl w:val="0"/>
          <w:numId w:val="1"/>
        </w:numPr>
        <w:spacing w:after="240"/>
        <w:jc w:val="both"/>
        <w:rPr>
          <w:rFonts w:ascii="Arial" w:hAnsi="Arial" w:cs="Arial"/>
        </w:rPr>
      </w:pPr>
      <w:r w:rsidRPr="00FC75B5">
        <w:rPr>
          <w:rFonts w:ascii="Arial" w:hAnsi="Arial" w:cs="Arial"/>
        </w:rPr>
        <w:t xml:space="preserve">RoS Board is requested to review the </w:t>
      </w:r>
      <w:r w:rsidR="00C53A6C">
        <w:rPr>
          <w:rFonts w:ascii="Arial" w:hAnsi="Arial" w:cs="Arial"/>
        </w:rPr>
        <w:t xml:space="preserve">draft </w:t>
      </w:r>
      <w:r w:rsidRPr="00FC75B5">
        <w:rPr>
          <w:rFonts w:ascii="Arial" w:hAnsi="Arial" w:cs="Arial"/>
          <w:color w:val="000000" w:themeColor="text1"/>
        </w:rPr>
        <w:t xml:space="preserve">Risk Management policy </w:t>
      </w:r>
      <w:r w:rsidR="00C53A6C">
        <w:rPr>
          <w:rFonts w:ascii="Arial" w:hAnsi="Arial" w:cs="Arial"/>
          <w:color w:val="000000" w:themeColor="text1"/>
        </w:rPr>
        <w:t xml:space="preserve">2022 </w:t>
      </w:r>
      <w:r w:rsidRPr="00FC75B5">
        <w:rPr>
          <w:rFonts w:ascii="Arial" w:hAnsi="Arial" w:cs="Arial"/>
          <w:color w:val="000000" w:themeColor="text1"/>
        </w:rPr>
        <w:t>at Annex 2 and advise the Keeper and EMT.</w:t>
      </w:r>
      <w:r w:rsidR="00E308F4" w:rsidRPr="00FC75B5">
        <w:rPr>
          <w:rFonts w:ascii="Arial" w:hAnsi="Arial" w:cs="Arial"/>
        </w:rPr>
        <w:t xml:space="preserve"> </w:t>
      </w:r>
    </w:p>
    <w:p w14:paraId="1F9D42C8" w14:textId="77777777" w:rsidR="00E308F4" w:rsidRDefault="00E308F4" w:rsidP="00186245">
      <w:pPr>
        <w:jc w:val="both"/>
        <w:rPr>
          <w:rFonts w:ascii="Arial" w:hAnsi="Arial" w:cs="Arial"/>
        </w:rPr>
      </w:pPr>
      <w:r>
        <w:rPr>
          <w:rFonts w:ascii="Arial" w:hAnsi="Arial" w:cs="Arial"/>
          <w:b/>
        </w:rPr>
        <w:t>Background</w:t>
      </w:r>
    </w:p>
    <w:p w14:paraId="6F17BC4F" w14:textId="77777777" w:rsidR="00E308F4" w:rsidRDefault="00E308F4" w:rsidP="00186245">
      <w:pPr>
        <w:jc w:val="both"/>
        <w:rPr>
          <w:rFonts w:ascii="Arial" w:hAnsi="Arial" w:cs="Arial"/>
        </w:rPr>
      </w:pPr>
    </w:p>
    <w:p w14:paraId="7CA011BD" w14:textId="4AC90BFE" w:rsidR="00E308F4" w:rsidRPr="00AB0641" w:rsidRDefault="00AB0641" w:rsidP="00AB0641">
      <w:pPr>
        <w:numPr>
          <w:ilvl w:val="0"/>
          <w:numId w:val="1"/>
        </w:numPr>
        <w:jc w:val="both"/>
        <w:rPr>
          <w:rFonts w:ascii="Arial" w:hAnsi="Arial" w:cs="Arial"/>
        </w:rPr>
      </w:pPr>
      <w:r w:rsidRPr="00722ABB">
        <w:rPr>
          <w:rFonts w:ascii="Arial" w:hAnsi="Arial" w:cs="Arial"/>
        </w:rPr>
        <w:t>RoS KRR contains the key risk scenarios that may affect delivery of our corporate plan objectives and the risk response strategies for these threats and opportunities. The KRR is a ‘live’ document which is reviewed and updated at least monthly by KRO</w:t>
      </w:r>
      <w:r>
        <w:rPr>
          <w:rFonts w:ascii="Arial" w:hAnsi="Arial" w:cs="Arial"/>
        </w:rPr>
        <w:t>s</w:t>
      </w:r>
      <w:r w:rsidRPr="00722ABB">
        <w:rPr>
          <w:rFonts w:ascii="Arial" w:hAnsi="Arial" w:cs="Arial"/>
        </w:rPr>
        <w:t xml:space="preserve"> and submitted to EMT for approval as part of their monthly corporate governance review process. The KRR is also submitted to RoS Board and ARC meetings for noting and/or advice as a summary report or as the RoS </w:t>
      </w:r>
      <w:r>
        <w:rPr>
          <w:rFonts w:ascii="Arial" w:hAnsi="Arial" w:cs="Arial"/>
        </w:rPr>
        <w:t>Assurance Framework</w:t>
      </w:r>
      <w:r w:rsidRPr="00722ABB">
        <w:rPr>
          <w:rFonts w:ascii="Arial" w:hAnsi="Arial" w:cs="Arial"/>
        </w:rPr>
        <w:t xml:space="preserve"> report</w:t>
      </w:r>
      <w:r w:rsidR="00E308F4" w:rsidRPr="00AB0641">
        <w:rPr>
          <w:rFonts w:ascii="Arial" w:hAnsi="Arial" w:cs="Arial"/>
        </w:rPr>
        <w:t>.</w:t>
      </w:r>
    </w:p>
    <w:p w14:paraId="23D5875B" w14:textId="77777777" w:rsidR="00E308F4" w:rsidRDefault="00E308F4" w:rsidP="00186245">
      <w:pPr>
        <w:jc w:val="both"/>
        <w:rPr>
          <w:rFonts w:ascii="Arial" w:hAnsi="Arial" w:cs="Arial"/>
        </w:rPr>
      </w:pPr>
    </w:p>
    <w:p w14:paraId="627AC861" w14:textId="706758DA" w:rsidR="00AF75CD" w:rsidRDefault="00AF75CD" w:rsidP="00AF75CD">
      <w:pPr>
        <w:numPr>
          <w:ilvl w:val="0"/>
          <w:numId w:val="1"/>
        </w:numPr>
        <w:jc w:val="both"/>
        <w:rPr>
          <w:rFonts w:ascii="Arial" w:hAnsi="Arial" w:cs="Arial"/>
        </w:rPr>
      </w:pPr>
      <w:r>
        <w:rPr>
          <w:rFonts w:ascii="Arial" w:hAnsi="Arial" w:cs="Arial"/>
        </w:rPr>
        <w:t>The Risk Management policy is owned by EMT and is reviewed annually by EMT, PCS Trade Union, ARC and RoS Board.</w:t>
      </w:r>
    </w:p>
    <w:p w14:paraId="62435754" w14:textId="77777777" w:rsidR="00E308F4" w:rsidRDefault="00E308F4" w:rsidP="00186245">
      <w:pPr>
        <w:jc w:val="both"/>
        <w:rPr>
          <w:rFonts w:ascii="Arial" w:hAnsi="Arial" w:cs="Arial"/>
          <w:b/>
        </w:rPr>
      </w:pPr>
    </w:p>
    <w:p w14:paraId="6644A3B2" w14:textId="77777777" w:rsidR="00AB0641" w:rsidRDefault="00AB0641" w:rsidP="00AB0641">
      <w:pPr>
        <w:jc w:val="both"/>
        <w:rPr>
          <w:rFonts w:ascii="Arial" w:hAnsi="Arial" w:cs="Arial"/>
          <w:b/>
        </w:rPr>
      </w:pPr>
      <w:r>
        <w:rPr>
          <w:rFonts w:ascii="Arial" w:hAnsi="Arial" w:cs="Arial"/>
          <w:b/>
        </w:rPr>
        <w:t>Key risk register (KRR)</w:t>
      </w:r>
    </w:p>
    <w:p w14:paraId="04540E3B" w14:textId="77777777" w:rsidR="00E308F4" w:rsidRDefault="00E308F4" w:rsidP="00186245">
      <w:pPr>
        <w:jc w:val="both"/>
        <w:rPr>
          <w:rFonts w:ascii="Arial" w:hAnsi="Arial" w:cs="Arial"/>
        </w:rPr>
      </w:pPr>
    </w:p>
    <w:p w14:paraId="1E1F847A" w14:textId="77777777" w:rsidR="00AB0641" w:rsidRDefault="00AB0641" w:rsidP="00AB0641">
      <w:pPr>
        <w:pStyle w:val="NormalWeb"/>
        <w:numPr>
          <w:ilvl w:val="0"/>
          <w:numId w:val="1"/>
        </w:numPr>
        <w:spacing w:before="0" w:beforeAutospacing="0" w:after="160" w:afterAutospacing="0" w:line="259" w:lineRule="auto"/>
        <w:jc w:val="both"/>
        <w:rPr>
          <w:rFonts w:ascii="Arial" w:hAnsi="Arial" w:cs="Arial"/>
          <w:color w:val="000000"/>
        </w:rPr>
      </w:pPr>
      <w:r w:rsidRPr="00AC0B58">
        <w:rPr>
          <w:rFonts w:ascii="Arial" w:hAnsi="Arial" w:cs="Arial"/>
          <w:color w:val="000000"/>
        </w:rPr>
        <w:t xml:space="preserve">The paper </w:t>
      </w:r>
      <w:r>
        <w:rPr>
          <w:rFonts w:ascii="Arial" w:hAnsi="Arial" w:cs="Arial"/>
          <w:color w:val="000000"/>
        </w:rPr>
        <w:t>adopts</w:t>
      </w:r>
      <w:r w:rsidRPr="00AC0B58">
        <w:rPr>
          <w:rFonts w:ascii="Arial" w:hAnsi="Arial" w:cs="Arial"/>
          <w:color w:val="000000"/>
        </w:rPr>
        <w:t xml:space="preserve"> </w:t>
      </w:r>
      <w:r>
        <w:rPr>
          <w:rFonts w:ascii="Arial" w:hAnsi="Arial" w:cs="Arial"/>
          <w:color w:val="000000"/>
        </w:rPr>
        <w:t>a</w:t>
      </w:r>
      <w:r w:rsidRPr="00AC0B58">
        <w:rPr>
          <w:rFonts w:ascii="Arial" w:hAnsi="Arial" w:cs="Arial"/>
          <w:color w:val="000000"/>
        </w:rPr>
        <w:t xml:space="preserve"> ‘reporting by exception’ approach comprising 3 elements</w:t>
      </w:r>
      <w:r>
        <w:rPr>
          <w:rFonts w:ascii="Arial" w:hAnsi="Arial" w:cs="Arial"/>
          <w:color w:val="000000"/>
        </w:rPr>
        <w:t>:</w:t>
      </w:r>
    </w:p>
    <w:tbl>
      <w:tblPr>
        <w:tblStyle w:val="TableGrid"/>
        <w:tblW w:w="9209" w:type="dxa"/>
        <w:jc w:val="center"/>
        <w:tblLook w:val="04A0" w:firstRow="1" w:lastRow="0" w:firstColumn="1" w:lastColumn="0" w:noHBand="0" w:noVBand="1"/>
      </w:tblPr>
      <w:tblGrid>
        <w:gridCol w:w="2830"/>
        <w:gridCol w:w="1701"/>
        <w:gridCol w:w="4678"/>
      </w:tblGrid>
      <w:tr w:rsidR="00AB0641" w14:paraId="5885F64E" w14:textId="77777777" w:rsidTr="0099135D">
        <w:trPr>
          <w:jc w:val="center"/>
        </w:trPr>
        <w:tc>
          <w:tcPr>
            <w:tcW w:w="2830" w:type="dxa"/>
          </w:tcPr>
          <w:p w14:paraId="74E6274E" w14:textId="77777777" w:rsidR="00AB0641" w:rsidRPr="000244BD" w:rsidRDefault="00AB0641" w:rsidP="0099135D">
            <w:pPr>
              <w:pStyle w:val="NormalWeb"/>
              <w:spacing w:before="0" w:beforeAutospacing="0" w:after="0" w:afterAutospacing="0"/>
              <w:jc w:val="center"/>
              <w:rPr>
                <w:rFonts w:ascii="Arial" w:hAnsi="Arial" w:cs="Arial"/>
                <w:b/>
                <w:bCs/>
              </w:rPr>
            </w:pPr>
            <w:r w:rsidRPr="000244BD">
              <w:rPr>
                <w:rFonts w:ascii="Arial" w:hAnsi="Arial" w:cs="Arial"/>
                <w:b/>
                <w:bCs/>
              </w:rPr>
              <w:t>Reporting element</w:t>
            </w:r>
          </w:p>
        </w:tc>
        <w:tc>
          <w:tcPr>
            <w:tcW w:w="1701" w:type="dxa"/>
          </w:tcPr>
          <w:p w14:paraId="3C7EC835" w14:textId="77777777" w:rsidR="00AB0641" w:rsidRPr="000244BD" w:rsidRDefault="00AB0641" w:rsidP="0099135D">
            <w:pPr>
              <w:pStyle w:val="NormalWeb"/>
              <w:spacing w:before="0" w:beforeAutospacing="0" w:after="0" w:afterAutospacing="0"/>
              <w:jc w:val="center"/>
              <w:rPr>
                <w:rFonts w:ascii="Arial" w:hAnsi="Arial" w:cs="Arial"/>
                <w:b/>
                <w:bCs/>
              </w:rPr>
            </w:pPr>
            <w:r w:rsidRPr="000244BD">
              <w:rPr>
                <w:rFonts w:ascii="Arial" w:hAnsi="Arial" w:cs="Arial"/>
                <w:b/>
                <w:bCs/>
              </w:rPr>
              <w:t>Frequency of reporting</w:t>
            </w:r>
          </w:p>
        </w:tc>
        <w:tc>
          <w:tcPr>
            <w:tcW w:w="4678" w:type="dxa"/>
          </w:tcPr>
          <w:p w14:paraId="66D3703E" w14:textId="77777777" w:rsidR="00AB0641" w:rsidRPr="000244BD" w:rsidRDefault="00AB0641" w:rsidP="0099135D">
            <w:pPr>
              <w:pStyle w:val="NormalWeb"/>
              <w:spacing w:before="0" w:beforeAutospacing="0" w:after="0" w:afterAutospacing="0"/>
              <w:jc w:val="center"/>
              <w:rPr>
                <w:rFonts w:ascii="Arial" w:hAnsi="Arial" w:cs="Arial"/>
                <w:b/>
                <w:bCs/>
              </w:rPr>
            </w:pPr>
            <w:r w:rsidRPr="000244BD">
              <w:rPr>
                <w:rFonts w:ascii="Arial" w:hAnsi="Arial" w:cs="Arial"/>
                <w:b/>
                <w:bCs/>
              </w:rPr>
              <w:t>Board</w:t>
            </w:r>
            <w:r>
              <w:rPr>
                <w:rFonts w:ascii="Arial" w:hAnsi="Arial" w:cs="Arial"/>
                <w:b/>
                <w:bCs/>
              </w:rPr>
              <w:t xml:space="preserve"> input / ‘Ask of the Board’</w:t>
            </w:r>
          </w:p>
        </w:tc>
      </w:tr>
      <w:tr w:rsidR="00AB0641" w14:paraId="6AC533C7" w14:textId="77777777" w:rsidTr="0099135D">
        <w:trPr>
          <w:jc w:val="center"/>
        </w:trPr>
        <w:tc>
          <w:tcPr>
            <w:tcW w:w="2830" w:type="dxa"/>
          </w:tcPr>
          <w:p w14:paraId="2646EAE0" w14:textId="77777777" w:rsidR="00AB0641" w:rsidRPr="00A40146" w:rsidRDefault="00AB0641" w:rsidP="0099135D">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1. </w:t>
            </w:r>
            <w:r w:rsidRPr="00A40146">
              <w:rPr>
                <w:rFonts w:ascii="Arial" w:hAnsi="Arial" w:cs="Arial"/>
                <w:sz w:val="22"/>
                <w:szCs w:val="22"/>
              </w:rPr>
              <w:t>RoS Key Risk profile</w:t>
            </w:r>
          </w:p>
        </w:tc>
        <w:tc>
          <w:tcPr>
            <w:tcW w:w="1701" w:type="dxa"/>
          </w:tcPr>
          <w:p w14:paraId="09AD535E" w14:textId="77777777" w:rsidR="00AB0641" w:rsidRPr="00A40146" w:rsidRDefault="00AB0641" w:rsidP="0099135D">
            <w:pPr>
              <w:pStyle w:val="NormalWeb"/>
              <w:spacing w:before="0" w:beforeAutospacing="0" w:after="0" w:afterAutospacing="0"/>
              <w:jc w:val="center"/>
              <w:rPr>
                <w:rFonts w:ascii="Arial" w:hAnsi="Arial" w:cs="Arial"/>
                <w:sz w:val="22"/>
                <w:szCs w:val="22"/>
              </w:rPr>
            </w:pPr>
            <w:r w:rsidRPr="00A40146">
              <w:rPr>
                <w:rFonts w:ascii="Arial" w:hAnsi="Arial" w:cs="Arial"/>
                <w:sz w:val="22"/>
                <w:szCs w:val="22"/>
              </w:rPr>
              <w:t>Every Board meeting</w:t>
            </w:r>
          </w:p>
        </w:tc>
        <w:tc>
          <w:tcPr>
            <w:tcW w:w="4678" w:type="dxa"/>
            <w:vAlign w:val="center"/>
          </w:tcPr>
          <w:p w14:paraId="5963F545" w14:textId="77777777" w:rsidR="00AB0641" w:rsidRPr="00A40146" w:rsidRDefault="00AB0641" w:rsidP="0099135D">
            <w:pPr>
              <w:pStyle w:val="NormalWeb"/>
              <w:spacing w:before="0" w:beforeAutospacing="0" w:after="0" w:afterAutospacing="0"/>
              <w:jc w:val="center"/>
              <w:rPr>
                <w:rFonts w:ascii="Arial" w:hAnsi="Arial" w:cs="Arial"/>
                <w:sz w:val="22"/>
                <w:szCs w:val="22"/>
              </w:rPr>
            </w:pPr>
            <w:r w:rsidRPr="00A40146">
              <w:rPr>
                <w:rFonts w:ascii="Arial" w:hAnsi="Arial" w:cs="Arial"/>
                <w:sz w:val="22"/>
                <w:szCs w:val="22"/>
              </w:rPr>
              <w:t xml:space="preserve">Advice on whether </w:t>
            </w:r>
            <w:r>
              <w:rPr>
                <w:rFonts w:ascii="Arial" w:hAnsi="Arial" w:cs="Arial"/>
                <w:sz w:val="22"/>
                <w:szCs w:val="22"/>
              </w:rPr>
              <w:t xml:space="preserve">strategic </w:t>
            </w:r>
            <w:r w:rsidRPr="00A40146">
              <w:rPr>
                <w:rFonts w:ascii="Arial" w:hAnsi="Arial" w:cs="Arial"/>
                <w:sz w:val="22"/>
                <w:szCs w:val="22"/>
              </w:rPr>
              <w:t xml:space="preserve">risk exposure continues to be captured by </w:t>
            </w:r>
            <w:r>
              <w:rPr>
                <w:rFonts w:ascii="Arial" w:hAnsi="Arial" w:cs="Arial"/>
                <w:sz w:val="22"/>
                <w:szCs w:val="22"/>
              </w:rPr>
              <w:t xml:space="preserve">the </w:t>
            </w:r>
            <w:r w:rsidRPr="00A40146">
              <w:rPr>
                <w:rFonts w:ascii="Arial" w:hAnsi="Arial" w:cs="Arial"/>
                <w:sz w:val="22"/>
                <w:szCs w:val="22"/>
              </w:rPr>
              <w:t>KRR</w:t>
            </w:r>
          </w:p>
        </w:tc>
      </w:tr>
      <w:tr w:rsidR="00AB0641" w14:paraId="2761D739" w14:textId="77777777" w:rsidTr="0099135D">
        <w:trPr>
          <w:jc w:val="center"/>
        </w:trPr>
        <w:tc>
          <w:tcPr>
            <w:tcW w:w="2830" w:type="dxa"/>
          </w:tcPr>
          <w:p w14:paraId="2A603FB9" w14:textId="77777777" w:rsidR="00AB0641" w:rsidRPr="00A40146" w:rsidRDefault="00AB0641" w:rsidP="0099135D">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2. </w:t>
            </w:r>
            <w:r w:rsidRPr="00A40146">
              <w:rPr>
                <w:rFonts w:ascii="Arial" w:hAnsi="Arial" w:cs="Arial"/>
                <w:sz w:val="22"/>
                <w:szCs w:val="22"/>
              </w:rPr>
              <w:t>New/developing risks</w:t>
            </w:r>
          </w:p>
        </w:tc>
        <w:tc>
          <w:tcPr>
            <w:tcW w:w="1701" w:type="dxa"/>
          </w:tcPr>
          <w:p w14:paraId="49795B5F" w14:textId="77777777" w:rsidR="00AB0641" w:rsidRPr="00A40146" w:rsidRDefault="00AB0641" w:rsidP="0099135D">
            <w:pPr>
              <w:pStyle w:val="NormalWeb"/>
              <w:spacing w:before="0" w:beforeAutospacing="0" w:after="0" w:afterAutospacing="0"/>
              <w:jc w:val="center"/>
              <w:rPr>
                <w:rFonts w:ascii="Arial" w:hAnsi="Arial" w:cs="Arial"/>
                <w:sz w:val="22"/>
                <w:szCs w:val="22"/>
              </w:rPr>
            </w:pPr>
            <w:r w:rsidRPr="00A40146">
              <w:rPr>
                <w:rFonts w:ascii="Arial" w:hAnsi="Arial" w:cs="Arial"/>
                <w:sz w:val="22"/>
                <w:szCs w:val="22"/>
              </w:rPr>
              <w:t>As relevant</w:t>
            </w:r>
          </w:p>
        </w:tc>
        <w:tc>
          <w:tcPr>
            <w:tcW w:w="4678" w:type="dxa"/>
            <w:vAlign w:val="center"/>
          </w:tcPr>
          <w:p w14:paraId="4FB32A12" w14:textId="77777777" w:rsidR="00AB0641" w:rsidRPr="00A40146" w:rsidRDefault="00AB0641" w:rsidP="0099135D">
            <w:pPr>
              <w:pStyle w:val="NormalWeb"/>
              <w:spacing w:before="0" w:beforeAutospacing="0" w:after="0" w:afterAutospacing="0"/>
              <w:jc w:val="center"/>
              <w:rPr>
                <w:rFonts w:ascii="Arial" w:hAnsi="Arial" w:cs="Arial"/>
                <w:sz w:val="22"/>
                <w:szCs w:val="22"/>
              </w:rPr>
            </w:pPr>
            <w:r w:rsidRPr="00A40146">
              <w:rPr>
                <w:rFonts w:ascii="Arial" w:hAnsi="Arial" w:cs="Arial"/>
                <w:sz w:val="22"/>
                <w:szCs w:val="22"/>
              </w:rPr>
              <w:t xml:space="preserve">Advice on </w:t>
            </w:r>
            <w:r>
              <w:rPr>
                <w:rFonts w:ascii="Arial" w:hAnsi="Arial" w:cs="Arial"/>
                <w:sz w:val="22"/>
                <w:szCs w:val="22"/>
              </w:rPr>
              <w:t xml:space="preserve">how risks have been assessed in terms of ‘causes - scenario - </w:t>
            </w:r>
            <w:proofErr w:type="gramStart"/>
            <w:r>
              <w:rPr>
                <w:rFonts w:ascii="Arial" w:hAnsi="Arial" w:cs="Arial"/>
                <w:sz w:val="22"/>
                <w:szCs w:val="22"/>
              </w:rPr>
              <w:t>impacts’</w:t>
            </w:r>
            <w:proofErr w:type="gramEnd"/>
            <w:r>
              <w:rPr>
                <w:rFonts w:ascii="Arial" w:hAnsi="Arial" w:cs="Arial"/>
                <w:sz w:val="22"/>
                <w:szCs w:val="22"/>
              </w:rPr>
              <w:t xml:space="preserve"> and the risk response (i.e. controls)</w:t>
            </w:r>
          </w:p>
        </w:tc>
      </w:tr>
      <w:tr w:rsidR="00AB0641" w14:paraId="43FCF84D" w14:textId="77777777" w:rsidTr="0099135D">
        <w:trPr>
          <w:jc w:val="center"/>
        </w:trPr>
        <w:tc>
          <w:tcPr>
            <w:tcW w:w="2830" w:type="dxa"/>
          </w:tcPr>
          <w:p w14:paraId="6F8A61A6" w14:textId="77777777" w:rsidR="00AB0641" w:rsidRPr="00A40146" w:rsidRDefault="00AB0641" w:rsidP="0099135D">
            <w:pPr>
              <w:pStyle w:val="NormalWeb"/>
              <w:spacing w:before="0" w:beforeAutospacing="0" w:after="0" w:afterAutospacing="0"/>
              <w:jc w:val="both"/>
              <w:rPr>
                <w:rFonts w:ascii="Arial" w:hAnsi="Arial" w:cs="Arial"/>
                <w:sz w:val="22"/>
                <w:szCs w:val="22"/>
              </w:rPr>
            </w:pPr>
            <w:r w:rsidRPr="00A164E9">
              <w:rPr>
                <w:rFonts w:ascii="Arial" w:hAnsi="Arial" w:cs="Arial"/>
                <w:sz w:val="22"/>
                <w:szCs w:val="22"/>
              </w:rPr>
              <w:lastRenderedPageBreak/>
              <w:t>3.</w:t>
            </w:r>
            <w:r>
              <w:rPr>
                <w:rFonts w:ascii="Arial" w:hAnsi="Arial" w:cs="Arial"/>
                <w:sz w:val="22"/>
                <w:szCs w:val="22"/>
              </w:rPr>
              <w:t xml:space="preserve"> Risks trending away from target risk score / controls not delivering anticipated risk response</w:t>
            </w:r>
          </w:p>
        </w:tc>
        <w:tc>
          <w:tcPr>
            <w:tcW w:w="1701" w:type="dxa"/>
          </w:tcPr>
          <w:p w14:paraId="2AD10322" w14:textId="77777777" w:rsidR="00AB0641" w:rsidRPr="00A40146" w:rsidRDefault="00AB0641" w:rsidP="0099135D">
            <w:pPr>
              <w:pStyle w:val="NormalWeb"/>
              <w:spacing w:before="0" w:beforeAutospacing="0" w:after="0" w:afterAutospacing="0"/>
              <w:jc w:val="center"/>
              <w:rPr>
                <w:rFonts w:ascii="Arial" w:hAnsi="Arial" w:cs="Arial"/>
                <w:sz w:val="22"/>
                <w:szCs w:val="22"/>
              </w:rPr>
            </w:pPr>
            <w:r>
              <w:rPr>
                <w:rFonts w:ascii="Arial" w:hAnsi="Arial" w:cs="Arial"/>
                <w:sz w:val="22"/>
                <w:szCs w:val="22"/>
              </w:rPr>
              <w:t>As relevant</w:t>
            </w:r>
          </w:p>
        </w:tc>
        <w:tc>
          <w:tcPr>
            <w:tcW w:w="4678" w:type="dxa"/>
            <w:vAlign w:val="center"/>
          </w:tcPr>
          <w:p w14:paraId="2F72037F" w14:textId="77777777" w:rsidR="00AB0641" w:rsidRPr="00A40146" w:rsidRDefault="00AB0641" w:rsidP="0099135D">
            <w:pPr>
              <w:pStyle w:val="NormalWeb"/>
              <w:spacing w:before="0" w:beforeAutospacing="0" w:after="0" w:afterAutospacing="0"/>
              <w:jc w:val="center"/>
              <w:rPr>
                <w:rFonts w:ascii="Arial" w:hAnsi="Arial" w:cs="Arial"/>
                <w:sz w:val="22"/>
                <w:szCs w:val="22"/>
              </w:rPr>
            </w:pPr>
            <w:r w:rsidRPr="00A40146">
              <w:rPr>
                <w:rFonts w:ascii="Arial" w:hAnsi="Arial" w:cs="Arial"/>
                <w:sz w:val="22"/>
                <w:szCs w:val="22"/>
              </w:rPr>
              <w:t xml:space="preserve">Advice on </w:t>
            </w:r>
            <w:r>
              <w:rPr>
                <w:rFonts w:ascii="Arial" w:hAnsi="Arial" w:cs="Arial"/>
                <w:sz w:val="22"/>
                <w:szCs w:val="22"/>
              </w:rPr>
              <w:t xml:space="preserve">how risks have been assessed in terms of ‘causes - scenario – </w:t>
            </w:r>
            <w:proofErr w:type="gramStart"/>
            <w:r>
              <w:rPr>
                <w:rFonts w:ascii="Arial" w:hAnsi="Arial" w:cs="Arial"/>
                <w:sz w:val="22"/>
                <w:szCs w:val="22"/>
              </w:rPr>
              <w:t>impacts’</w:t>
            </w:r>
            <w:proofErr w:type="gramEnd"/>
            <w:r>
              <w:rPr>
                <w:rFonts w:ascii="Arial" w:hAnsi="Arial" w:cs="Arial"/>
                <w:sz w:val="22"/>
                <w:szCs w:val="22"/>
              </w:rPr>
              <w:t xml:space="preserve"> and the risk response (i.e. controls)</w:t>
            </w:r>
          </w:p>
        </w:tc>
      </w:tr>
    </w:tbl>
    <w:p w14:paraId="27B29A9E" w14:textId="37BCCB8A" w:rsidR="00E308F4" w:rsidRDefault="00E308F4" w:rsidP="00AB0641">
      <w:pPr>
        <w:pStyle w:val="NormalWeb"/>
        <w:spacing w:before="0" w:beforeAutospacing="0" w:after="160" w:afterAutospacing="0" w:line="259" w:lineRule="auto"/>
        <w:jc w:val="both"/>
        <w:rPr>
          <w:rFonts w:ascii="Arial" w:hAnsi="Arial" w:cs="Arial"/>
        </w:rPr>
      </w:pPr>
      <w:r w:rsidRPr="00AB0641">
        <w:rPr>
          <w:rFonts w:ascii="Arial" w:hAnsi="Arial" w:cs="Arial"/>
        </w:rPr>
        <w:t xml:space="preserve"> </w:t>
      </w:r>
    </w:p>
    <w:p w14:paraId="6402E969" w14:textId="77777777" w:rsidR="00AB0641" w:rsidRDefault="00AB0641" w:rsidP="00AB0641">
      <w:pPr>
        <w:jc w:val="both"/>
        <w:rPr>
          <w:rFonts w:ascii="Arial" w:hAnsi="Arial" w:cs="Arial"/>
          <w:b/>
        </w:rPr>
      </w:pPr>
      <w:r>
        <w:rPr>
          <w:rFonts w:ascii="Arial" w:hAnsi="Arial" w:cs="Arial"/>
          <w:b/>
        </w:rPr>
        <w:t>KRR reporting element 1 - RoS Key Risk Profile</w:t>
      </w:r>
    </w:p>
    <w:p w14:paraId="09E2672F" w14:textId="77777777" w:rsidR="00E308F4" w:rsidRDefault="00E308F4" w:rsidP="00186245">
      <w:pPr>
        <w:jc w:val="both"/>
        <w:rPr>
          <w:rFonts w:ascii="Arial" w:hAnsi="Arial" w:cs="Arial"/>
        </w:rPr>
      </w:pPr>
      <w:r>
        <w:rPr>
          <w:rFonts w:ascii="Arial" w:hAnsi="Arial" w:cs="Arial"/>
        </w:rPr>
        <w:t xml:space="preserve"> </w:t>
      </w:r>
    </w:p>
    <w:p w14:paraId="2FA9312F" w14:textId="7ADA4D1F" w:rsidR="00B507E4" w:rsidRDefault="00AB0641" w:rsidP="004A6254">
      <w:pPr>
        <w:numPr>
          <w:ilvl w:val="0"/>
          <w:numId w:val="1"/>
        </w:numPr>
        <w:spacing w:after="240"/>
        <w:jc w:val="both"/>
        <w:rPr>
          <w:rFonts w:ascii="Arial" w:hAnsi="Arial" w:cs="Arial"/>
        </w:rPr>
      </w:pPr>
      <w:r w:rsidRPr="00AB0641">
        <w:rPr>
          <w:rFonts w:ascii="Arial" w:hAnsi="Arial" w:cs="Arial"/>
        </w:rPr>
        <w:t>KROs have reviewed the</w:t>
      </w:r>
      <w:r>
        <w:rPr>
          <w:rFonts w:ascii="Arial" w:hAnsi="Arial" w:cs="Arial"/>
        </w:rPr>
        <w:t>ir key risks</w:t>
      </w:r>
      <w:r w:rsidRPr="00AB0641">
        <w:rPr>
          <w:rFonts w:ascii="Arial" w:hAnsi="Arial" w:cs="Arial"/>
        </w:rPr>
        <w:t xml:space="preserve"> and updated </w:t>
      </w:r>
      <w:r>
        <w:rPr>
          <w:rFonts w:ascii="Arial" w:hAnsi="Arial" w:cs="Arial"/>
        </w:rPr>
        <w:t xml:space="preserve">where appropriate </w:t>
      </w:r>
      <w:r w:rsidRPr="00AB0641">
        <w:rPr>
          <w:rFonts w:ascii="Arial" w:hAnsi="Arial" w:cs="Arial"/>
        </w:rPr>
        <w:t xml:space="preserve">risk descriptions, appetite, proximity, scoring, </w:t>
      </w:r>
      <w:proofErr w:type="gramStart"/>
      <w:r w:rsidRPr="00AB0641">
        <w:rPr>
          <w:rFonts w:ascii="Arial" w:hAnsi="Arial" w:cs="Arial"/>
        </w:rPr>
        <w:t>controls</w:t>
      </w:r>
      <w:proofErr w:type="gramEnd"/>
      <w:r w:rsidRPr="00AB0641">
        <w:rPr>
          <w:rFonts w:ascii="Arial" w:hAnsi="Arial" w:cs="Arial"/>
        </w:rPr>
        <w:t xml:space="preserve"> and assurance opinions.  A summary of the KRR as at the date of this paper is at Annex 1. The ‘Live’ KRR will be available to RoS Board at its December 2022 meeting.</w:t>
      </w:r>
    </w:p>
    <w:p w14:paraId="7B7994BC" w14:textId="79CC1AEA" w:rsidR="00B80CFE" w:rsidRDefault="009079C2" w:rsidP="004A6254">
      <w:pPr>
        <w:numPr>
          <w:ilvl w:val="0"/>
          <w:numId w:val="1"/>
        </w:numPr>
        <w:spacing w:after="240"/>
        <w:jc w:val="both"/>
        <w:rPr>
          <w:rFonts w:ascii="Arial" w:hAnsi="Arial" w:cs="Arial"/>
        </w:rPr>
      </w:pPr>
      <w:r>
        <w:rPr>
          <w:rFonts w:ascii="Arial" w:hAnsi="Arial" w:cs="Arial"/>
        </w:rPr>
        <w:t>The annual EMT, ARC and Board risk workshop will take place on 17 January 2023</w:t>
      </w:r>
      <w:r w:rsidR="00B80CFE">
        <w:rPr>
          <w:rFonts w:ascii="Arial" w:hAnsi="Arial" w:cs="Arial"/>
        </w:rPr>
        <w:t>. ERM will use pre-workshop survey results to inform a workshop briefing pack and agenda for the session, focussing on:</w:t>
      </w:r>
    </w:p>
    <w:p w14:paraId="665021F7" w14:textId="23653140" w:rsidR="00B80CFE" w:rsidRDefault="00B80CFE" w:rsidP="00B80CFE">
      <w:pPr>
        <w:numPr>
          <w:ilvl w:val="1"/>
          <w:numId w:val="1"/>
        </w:numPr>
        <w:spacing w:after="240"/>
        <w:jc w:val="both"/>
        <w:rPr>
          <w:rFonts w:ascii="Arial" w:hAnsi="Arial" w:cs="Arial"/>
        </w:rPr>
      </w:pPr>
      <w:r>
        <w:rPr>
          <w:rFonts w:ascii="Arial" w:hAnsi="Arial" w:cs="Arial"/>
        </w:rPr>
        <w:t>new/developing risks not covered by existing key or directorate risks</w:t>
      </w:r>
    </w:p>
    <w:p w14:paraId="23CDA06A" w14:textId="4A84222A" w:rsidR="009079C2" w:rsidRDefault="00B80CFE" w:rsidP="00B80CFE">
      <w:pPr>
        <w:numPr>
          <w:ilvl w:val="1"/>
          <w:numId w:val="1"/>
        </w:numPr>
        <w:spacing w:after="240"/>
        <w:jc w:val="both"/>
        <w:rPr>
          <w:rFonts w:ascii="Arial" w:hAnsi="Arial" w:cs="Arial"/>
        </w:rPr>
      </w:pPr>
      <w:r>
        <w:rPr>
          <w:rFonts w:ascii="Arial" w:hAnsi="Arial" w:cs="Arial"/>
        </w:rPr>
        <w:t xml:space="preserve">priority key risks as determined by the survey results </w:t>
      </w:r>
    </w:p>
    <w:p w14:paraId="73D9FE03" w14:textId="3DB890CA" w:rsidR="00AB0641" w:rsidRDefault="00AB0641" w:rsidP="00AB0641">
      <w:pPr>
        <w:pStyle w:val="ListParagraph"/>
        <w:ind w:left="0"/>
        <w:jc w:val="both"/>
        <w:rPr>
          <w:rFonts w:ascii="Arial" w:hAnsi="Arial" w:cs="Arial"/>
          <w:b/>
        </w:rPr>
      </w:pPr>
      <w:r w:rsidRPr="00AB0641">
        <w:rPr>
          <w:rFonts w:ascii="Arial" w:hAnsi="Arial" w:cs="Arial"/>
          <w:b/>
        </w:rPr>
        <w:t>KRR reporting element 2 – New/developing risks</w:t>
      </w:r>
    </w:p>
    <w:p w14:paraId="6C9767BA" w14:textId="77777777" w:rsidR="0070660A" w:rsidRPr="00AB0641" w:rsidRDefault="0070660A" w:rsidP="00AB0641">
      <w:pPr>
        <w:pStyle w:val="ListParagraph"/>
        <w:ind w:left="0"/>
        <w:jc w:val="both"/>
        <w:rPr>
          <w:rFonts w:ascii="Arial" w:hAnsi="Arial" w:cs="Arial"/>
          <w:b/>
        </w:rPr>
      </w:pPr>
    </w:p>
    <w:p w14:paraId="09031CA5" w14:textId="0956D711" w:rsidR="00181BF7" w:rsidRDefault="00B507E4" w:rsidP="00FC75B5">
      <w:pPr>
        <w:numPr>
          <w:ilvl w:val="0"/>
          <w:numId w:val="1"/>
        </w:numPr>
        <w:jc w:val="both"/>
        <w:rPr>
          <w:rFonts w:ascii="Arial" w:hAnsi="Arial" w:cs="Arial"/>
        </w:rPr>
      </w:pPr>
      <w:r>
        <w:rPr>
          <w:rFonts w:ascii="Arial" w:hAnsi="Arial" w:cs="Arial"/>
        </w:rPr>
        <w:t>Key Risk 1 Financial Health:</w:t>
      </w:r>
      <w:r w:rsidR="00181BF7">
        <w:rPr>
          <w:rFonts w:ascii="Arial" w:hAnsi="Arial" w:cs="Arial"/>
        </w:rPr>
        <w:t xml:space="preserve"> </w:t>
      </w:r>
      <w:r w:rsidR="00181BF7" w:rsidRPr="00181BF7">
        <w:rPr>
          <w:rFonts w:ascii="Arial" w:hAnsi="Arial" w:cs="Arial"/>
        </w:rPr>
        <w:t>scenario changed from:</w:t>
      </w:r>
    </w:p>
    <w:p w14:paraId="63854BE4" w14:textId="77777777" w:rsidR="00181BF7" w:rsidRDefault="00181BF7" w:rsidP="00181BF7">
      <w:pPr>
        <w:jc w:val="both"/>
        <w:rPr>
          <w:rFonts w:ascii="Arial" w:hAnsi="Arial" w:cs="Arial"/>
        </w:rPr>
      </w:pPr>
    </w:p>
    <w:p w14:paraId="13E0ACFB" w14:textId="36176AEE" w:rsidR="00181BF7" w:rsidRDefault="00181BF7" w:rsidP="00181BF7">
      <w:pPr>
        <w:ind w:left="720"/>
        <w:jc w:val="both"/>
        <w:rPr>
          <w:rFonts w:ascii="Arial" w:hAnsi="Arial" w:cs="Arial"/>
        </w:rPr>
      </w:pPr>
      <w:r w:rsidRPr="00181BF7">
        <w:rPr>
          <w:rFonts w:ascii="Arial" w:hAnsi="Arial" w:cs="Arial"/>
        </w:rPr>
        <w:t xml:space="preserve">"There is a threat that RoS is unable to achieve and maintain a financial break-even position every year" </w:t>
      </w:r>
      <w:proofErr w:type="gramStart"/>
      <w:r>
        <w:rPr>
          <w:rFonts w:ascii="Arial" w:hAnsi="Arial" w:cs="Arial"/>
        </w:rPr>
        <w:t>t</w:t>
      </w:r>
      <w:r w:rsidRPr="00181BF7">
        <w:rPr>
          <w:rFonts w:ascii="Arial" w:hAnsi="Arial" w:cs="Arial"/>
        </w:rPr>
        <w:t>o</w:t>
      </w:r>
      <w:r>
        <w:rPr>
          <w:rFonts w:ascii="Arial" w:hAnsi="Arial" w:cs="Arial"/>
        </w:rPr>
        <w:t>;</w:t>
      </w:r>
      <w:proofErr w:type="gramEnd"/>
    </w:p>
    <w:p w14:paraId="46EEAD88" w14:textId="77777777" w:rsidR="00181BF7" w:rsidRDefault="00181BF7" w:rsidP="00181BF7">
      <w:pPr>
        <w:ind w:left="720" w:firstLine="720"/>
        <w:jc w:val="both"/>
        <w:rPr>
          <w:rFonts w:ascii="Arial" w:hAnsi="Arial" w:cs="Arial"/>
        </w:rPr>
      </w:pPr>
    </w:p>
    <w:p w14:paraId="677519E8" w14:textId="0BBD43D2" w:rsidR="001611D7" w:rsidRDefault="00181BF7" w:rsidP="00181BF7">
      <w:pPr>
        <w:ind w:left="720"/>
        <w:jc w:val="both"/>
        <w:rPr>
          <w:rFonts w:ascii="Arial" w:hAnsi="Arial" w:cs="Arial"/>
        </w:rPr>
      </w:pPr>
      <w:r w:rsidRPr="00181BF7">
        <w:rPr>
          <w:rFonts w:ascii="Arial" w:hAnsi="Arial" w:cs="Arial"/>
        </w:rPr>
        <w:t>"There is a threat that RoS is asked to contribute to the SG budget this year and in future years, rather than financially break-even."</w:t>
      </w:r>
    </w:p>
    <w:p w14:paraId="76DF8888" w14:textId="7885C0EA" w:rsidR="00181BF7" w:rsidRDefault="00181BF7" w:rsidP="00181BF7">
      <w:pPr>
        <w:ind w:left="720"/>
        <w:jc w:val="both"/>
        <w:rPr>
          <w:rFonts w:ascii="Arial" w:hAnsi="Arial" w:cs="Arial"/>
        </w:rPr>
      </w:pPr>
    </w:p>
    <w:p w14:paraId="3E46C66C" w14:textId="20BB6114" w:rsidR="00181BF7" w:rsidRDefault="00181BF7" w:rsidP="00181BF7">
      <w:pPr>
        <w:ind w:firstLine="720"/>
        <w:jc w:val="both"/>
        <w:rPr>
          <w:rFonts w:ascii="Arial" w:hAnsi="Arial" w:cs="Arial"/>
        </w:rPr>
      </w:pPr>
      <w:r>
        <w:rPr>
          <w:rFonts w:ascii="Arial" w:hAnsi="Arial" w:cs="Arial"/>
        </w:rPr>
        <w:t xml:space="preserve">This </w:t>
      </w:r>
      <w:r w:rsidR="005824A2">
        <w:rPr>
          <w:rFonts w:ascii="Arial" w:hAnsi="Arial" w:cs="Arial"/>
        </w:rPr>
        <w:t>expands</w:t>
      </w:r>
      <w:r>
        <w:rPr>
          <w:rFonts w:ascii="Arial" w:hAnsi="Arial" w:cs="Arial"/>
        </w:rPr>
        <w:t xml:space="preserve"> the</w:t>
      </w:r>
      <w:r w:rsidRPr="00181BF7">
        <w:rPr>
          <w:rFonts w:ascii="Arial" w:hAnsi="Arial" w:cs="Arial"/>
        </w:rPr>
        <w:t xml:space="preserve"> Financial Health key risk</w:t>
      </w:r>
      <w:r w:rsidR="005824A2">
        <w:rPr>
          <w:rFonts w:ascii="Arial" w:hAnsi="Arial" w:cs="Arial"/>
        </w:rPr>
        <w:t xml:space="preserve"> to include</w:t>
      </w:r>
      <w:r>
        <w:rPr>
          <w:rFonts w:ascii="Arial" w:hAnsi="Arial" w:cs="Arial"/>
        </w:rPr>
        <w:t xml:space="preserve">: </w:t>
      </w:r>
      <w:r w:rsidRPr="00181BF7">
        <w:rPr>
          <w:rFonts w:ascii="Arial" w:hAnsi="Arial" w:cs="Arial"/>
        </w:rPr>
        <w:t>(i) management of our relationship with SG to ensure we have early visibility of any budget contribution expectations and (ii) management of our finances to ensure corporate plan delivery and a financial break-even year end position as a minimum. The existing control set responds to both elements</w:t>
      </w:r>
      <w:r w:rsidR="00EA2224">
        <w:rPr>
          <w:rFonts w:ascii="Arial" w:hAnsi="Arial" w:cs="Arial"/>
        </w:rPr>
        <w:t xml:space="preserve"> and the route to target for FY 22-23 remains on track</w:t>
      </w:r>
      <w:r w:rsidRPr="00181BF7">
        <w:rPr>
          <w:rFonts w:ascii="Arial" w:hAnsi="Arial" w:cs="Arial"/>
        </w:rPr>
        <w:t>.</w:t>
      </w:r>
      <w:r w:rsidR="00EA2224">
        <w:rPr>
          <w:rFonts w:ascii="Arial" w:hAnsi="Arial" w:cs="Arial"/>
        </w:rPr>
        <w:t xml:space="preserve"> Future reviews of this risk will look ahead to an assessment for FY 23-24, with the expectation this threat </w:t>
      </w:r>
      <w:r w:rsidR="00B44B71">
        <w:rPr>
          <w:rFonts w:ascii="Arial" w:hAnsi="Arial" w:cs="Arial"/>
        </w:rPr>
        <w:t>may</w:t>
      </w:r>
      <w:r w:rsidR="00EA2224">
        <w:rPr>
          <w:rFonts w:ascii="Arial" w:hAnsi="Arial" w:cs="Arial"/>
        </w:rPr>
        <w:t xml:space="preserve"> increase. </w:t>
      </w:r>
    </w:p>
    <w:p w14:paraId="24C0C0ED" w14:textId="43A336AB" w:rsidR="00E308F4" w:rsidRDefault="00B507E4" w:rsidP="001611D7">
      <w:pPr>
        <w:jc w:val="both"/>
        <w:rPr>
          <w:rFonts w:ascii="Arial" w:hAnsi="Arial" w:cs="Arial"/>
        </w:rPr>
      </w:pPr>
      <w:r>
        <w:rPr>
          <w:rFonts w:ascii="Arial" w:hAnsi="Arial" w:cs="Arial"/>
        </w:rPr>
        <w:t xml:space="preserve"> </w:t>
      </w:r>
    </w:p>
    <w:p w14:paraId="3EEF2EF7" w14:textId="3999C216" w:rsidR="001611D7" w:rsidRDefault="001611D7" w:rsidP="00FC75B5">
      <w:pPr>
        <w:numPr>
          <w:ilvl w:val="0"/>
          <w:numId w:val="1"/>
        </w:numPr>
        <w:jc w:val="both"/>
        <w:rPr>
          <w:rFonts w:ascii="Arial" w:hAnsi="Arial" w:cs="Arial"/>
        </w:rPr>
      </w:pPr>
      <w:r w:rsidRPr="001611D7">
        <w:rPr>
          <w:rFonts w:ascii="Arial" w:hAnsi="Arial" w:cs="Arial"/>
        </w:rPr>
        <w:t>Key Risk 10 LRC - Realising Benefits</w:t>
      </w:r>
      <w:r w:rsidR="00B2537D">
        <w:rPr>
          <w:rFonts w:ascii="Arial" w:hAnsi="Arial" w:cs="Arial"/>
        </w:rPr>
        <w:t xml:space="preserve"> (aligned to strategic objectives 1 and 2)</w:t>
      </w:r>
      <w:r w:rsidRPr="001611D7">
        <w:rPr>
          <w:rFonts w:ascii="Arial" w:hAnsi="Arial" w:cs="Arial"/>
        </w:rPr>
        <w:t xml:space="preserve"> - </w:t>
      </w:r>
      <w:r w:rsidR="00B2537D">
        <w:rPr>
          <w:rFonts w:ascii="Arial" w:hAnsi="Arial" w:cs="Arial"/>
        </w:rPr>
        <w:t>r</w:t>
      </w:r>
      <w:r w:rsidRPr="001611D7">
        <w:rPr>
          <w:rFonts w:ascii="Arial" w:hAnsi="Arial" w:cs="Arial"/>
        </w:rPr>
        <w:t xml:space="preserve">oute to target updated to include proposed development </w:t>
      </w:r>
      <w:r w:rsidR="00B44B71">
        <w:rPr>
          <w:rFonts w:ascii="Arial" w:hAnsi="Arial" w:cs="Arial"/>
        </w:rPr>
        <w:t>of an</w:t>
      </w:r>
      <w:r w:rsidRPr="001611D7">
        <w:rPr>
          <w:rFonts w:ascii="Arial" w:hAnsi="Arial" w:cs="Arial"/>
        </w:rPr>
        <w:t xml:space="preserve"> Unlocking Sasines data surfacing mechanism and to simplify user groups into 'Internal', 'External/Business' and 'Public'</w:t>
      </w:r>
      <w:r w:rsidR="00B2537D">
        <w:rPr>
          <w:rFonts w:ascii="Arial" w:hAnsi="Arial" w:cs="Arial"/>
        </w:rPr>
        <w:t>. This results in an earlier than anticipated increase in likelihood in Q4 23-24 (from Q</w:t>
      </w:r>
      <w:r w:rsidR="009079C2">
        <w:rPr>
          <w:rFonts w:ascii="Arial" w:hAnsi="Arial" w:cs="Arial"/>
        </w:rPr>
        <w:t>3</w:t>
      </w:r>
      <w:r w:rsidR="00B2537D">
        <w:rPr>
          <w:rFonts w:ascii="Arial" w:hAnsi="Arial" w:cs="Arial"/>
        </w:rPr>
        <w:t xml:space="preserve"> 24-25 in the previous route to target) </w:t>
      </w:r>
      <w:r w:rsidR="00B2537D" w:rsidRPr="00B2537D">
        <w:rPr>
          <w:rFonts w:ascii="Arial" w:hAnsi="Arial" w:cs="Arial"/>
        </w:rPr>
        <w:t xml:space="preserve">as </w:t>
      </w:r>
      <w:r w:rsidR="00B2537D">
        <w:rPr>
          <w:rFonts w:ascii="Arial" w:hAnsi="Arial" w:cs="Arial"/>
        </w:rPr>
        <w:t>internal and external/</w:t>
      </w:r>
      <w:r w:rsidR="00B2537D" w:rsidRPr="00B2537D">
        <w:rPr>
          <w:rFonts w:ascii="Arial" w:hAnsi="Arial" w:cs="Arial"/>
        </w:rPr>
        <w:t xml:space="preserve">business users </w:t>
      </w:r>
      <w:r w:rsidR="00B44B71">
        <w:rPr>
          <w:rFonts w:ascii="Arial" w:hAnsi="Arial" w:cs="Arial"/>
        </w:rPr>
        <w:t xml:space="preserve">are able to </w:t>
      </w:r>
      <w:r w:rsidR="00B2537D" w:rsidRPr="00B2537D">
        <w:rPr>
          <w:rFonts w:ascii="Arial" w:hAnsi="Arial" w:cs="Arial"/>
        </w:rPr>
        <w:t>access LRC data</w:t>
      </w:r>
      <w:r w:rsidR="00B2537D">
        <w:rPr>
          <w:rFonts w:ascii="Arial" w:hAnsi="Arial" w:cs="Arial"/>
        </w:rPr>
        <w:t>:</w:t>
      </w:r>
    </w:p>
    <w:p w14:paraId="3FC77D16" w14:textId="77777777" w:rsidR="00B2537D" w:rsidRDefault="00B2537D" w:rsidP="00B2537D">
      <w:pPr>
        <w:pStyle w:val="ListParagraph"/>
        <w:rPr>
          <w:rFonts w:ascii="Arial" w:hAnsi="Arial" w:cs="Arial"/>
        </w:rPr>
      </w:pPr>
    </w:p>
    <w:p w14:paraId="312A5339" w14:textId="5621FD9B" w:rsidR="00B2537D" w:rsidRDefault="00B2537D" w:rsidP="00B2537D">
      <w:pPr>
        <w:jc w:val="both"/>
        <w:rPr>
          <w:rFonts w:ascii="Arial" w:hAnsi="Arial" w:cs="Arial"/>
        </w:rPr>
      </w:pPr>
      <w:r>
        <w:rPr>
          <w:rFonts w:ascii="Arial" w:hAnsi="Arial" w:cs="Arial"/>
          <w:noProof/>
        </w:rPr>
        <w:lastRenderedPageBreak/>
        <w:drawing>
          <wp:inline distT="0" distB="0" distL="0" distR="0" wp14:anchorId="337944F1" wp14:editId="190CC605">
            <wp:extent cx="5842305" cy="2455407"/>
            <wp:effectExtent l="0" t="0" r="635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5528" cy="2477776"/>
                    </a:xfrm>
                    <a:prstGeom prst="rect">
                      <a:avLst/>
                    </a:prstGeom>
                    <a:noFill/>
                  </pic:spPr>
                </pic:pic>
              </a:graphicData>
            </a:graphic>
          </wp:inline>
        </w:drawing>
      </w:r>
    </w:p>
    <w:p w14:paraId="7232C931" w14:textId="77777777" w:rsidR="00786444" w:rsidRDefault="00786444" w:rsidP="00786444">
      <w:pPr>
        <w:jc w:val="both"/>
        <w:rPr>
          <w:rFonts w:ascii="Arial" w:hAnsi="Arial" w:cs="Arial"/>
        </w:rPr>
      </w:pPr>
    </w:p>
    <w:p w14:paraId="2E9D2A72" w14:textId="77777777" w:rsidR="00786444" w:rsidRPr="00E84F4E" w:rsidRDefault="00786444" w:rsidP="00786444">
      <w:pPr>
        <w:pStyle w:val="ListParagraph"/>
        <w:ind w:left="0"/>
        <w:jc w:val="both"/>
        <w:rPr>
          <w:rFonts w:ascii="Arial" w:hAnsi="Arial" w:cs="Arial"/>
          <w:b/>
        </w:rPr>
      </w:pPr>
      <w:r>
        <w:rPr>
          <w:rFonts w:ascii="Arial" w:hAnsi="Arial" w:cs="Arial"/>
          <w:b/>
        </w:rPr>
        <w:t>KRR</w:t>
      </w:r>
      <w:r w:rsidRPr="00E84F4E">
        <w:rPr>
          <w:rFonts w:ascii="Arial" w:hAnsi="Arial" w:cs="Arial"/>
          <w:b/>
        </w:rPr>
        <w:t xml:space="preserve"> reporting element </w:t>
      </w:r>
      <w:r>
        <w:rPr>
          <w:rFonts w:ascii="Arial" w:hAnsi="Arial" w:cs="Arial"/>
          <w:b/>
        </w:rPr>
        <w:t xml:space="preserve">3 - </w:t>
      </w:r>
      <w:r w:rsidRPr="00573015">
        <w:rPr>
          <w:rFonts w:ascii="Arial" w:hAnsi="Arial" w:cs="Arial"/>
          <w:b/>
        </w:rPr>
        <w:t>Risks trending away from target risk score / controls not delivering anticipated risk response</w:t>
      </w:r>
    </w:p>
    <w:p w14:paraId="11B61493" w14:textId="77777777" w:rsidR="00E308F4" w:rsidRDefault="00E308F4" w:rsidP="00186245">
      <w:pPr>
        <w:jc w:val="both"/>
        <w:rPr>
          <w:rFonts w:ascii="Arial" w:hAnsi="Arial" w:cs="Arial"/>
        </w:rPr>
      </w:pPr>
      <w:r>
        <w:rPr>
          <w:rFonts w:ascii="Arial" w:hAnsi="Arial" w:cs="Arial"/>
        </w:rPr>
        <w:t xml:space="preserve"> </w:t>
      </w:r>
    </w:p>
    <w:p w14:paraId="01F11237" w14:textId="35CD8984" w:rsidR="001611D7" w:rsidRDefault="001611D7" w:rsidP="001611D7">
      <w:pPr>
        <w:numPr>
          <w:ilvl w:val="0"/>
          <w:numId w:val="1"/>
        </w:numPr>
        <w:jc w:val="both"/>
        <w:rPr>
          <w:rFonts w:ascii="Arial" w:hAnsi="Arial" w:cs="Arial"/>
        </w:rPr>
      </w:pPr>
      <w:r w:rsidRPr="001611D7">
        <w:rPr>
          <w:rFonts w:ascii="Arial" w:hAnsi="Arial" w:cs="Arial"/>
        </w:rPr>
        <w:t>Key Risk 6 Uncertainty of future business model beyond 2024</w:t>
      </w:r>
      <w:r>
        <w:rPr>
          <w:rFonts w:ascii="Arial" w:hAnsi="Arial" w:cs="Arial"/>
        </w:rPr>
        <w:t xml:space="preserve"> (aligned to strategic objectives 4 and 6):</w:t>
      </w:r>
      <w:r w:rsidRPr="001611D7">
        <w:rPr>
          <w:rFonts w:ascii="Arial" w:hAnsi="Arial" w:cs="Arial"/>
        </w:rPr>
        <w:t xml:space="preserve"> scenario changed from</w:t>
      </w:r>
      <w:r>
        <w:rPr>
          <w:rFonts w:ascii="Arial" w:hAnsi="Arial" w:cs="Arial"/>
        </w:rPr>
        <w:t>:</w:t>
      </w:r>
    </w:p>
    <w:p w14:paraId="0FC6FB20" w14:textId="77777777" w:rsidR="001611D7" w:rsidRDefault="001611D7" w:rsidP="001611D7">
      <w:pPr>
        <w:jc w:val="both"/>
        <w:rPr>
          <w:rFonts w:ascii="Arial" w:hAnsi="Arial" w:cs="Arial"/>
        </w:rPr>
      </w:pPr>
    </w:p>
    <w:p w14:paraId="060324D6" w14:textId="5F9CB152" w:rsidR="001611D7" w:rsidRDefault="001611D7" w:rsidP="001611D7">
      <w:pPr>
        <w:ind w:left="720"/>
        <w:jc w:val="both"/>
        <w:rPr>
          <w:rFonts w:ascii="Arial" w:hAnsi="Arial" w:cs="Arial"/>
        </w:rPr>
      </w:pPr>
      <w:r w:rsidRPr="001611D7">
        <w:rPr>
          <w:rFonts w:ascii="Arial" w:hAnsi="Arial" w:cs="Arial"/>
        </w:rPr>
        <w:t xml:space="preserve">"There is a threat that insufficient strategic thinking will inhibit our ability to </w:t>
      </w:r>
      <w:r w:rsidRPr="001611D7">
        <w:rPr>
          <w:rFonts w:ascii="Arial" w:hAnsi="Arial" w:cs="Arial"/>
          <w:b/>
          <w:bCs/>
        </w:rPr>
        <w:t>formulate a</w:t>
      </w:r>
      <w:r w:rsidRPr="001611D7">
        <w:rPr>
          <w:rFonts w:ascii="Arial" w:hAnsi="Arial" w:cs="Arial"/>
        </w:rPr>
        <w:t xml:space="preserve"> </w:t>
      </w:r>
      <w:proofErr w:type="gramStart"/>
      <w:r w:rsidRPr="001611D7">
        <w:rPr>
          <w:rFonts w:ascii="Arial" w:hAnsi="Arial" w:cs="Arial"/>
        </w:rPr>
        <w:t>longer term</w:t>
      </w:r>
      <w:proofErr w:type="gramEnd"/>
      <w:r w:rsidRPr="001611D7">
        <w:rPr>
          <w:rFonts w:ascii="Arial" w:hAnsi="Arial" w:cs="Arial"/>
        </w:rPr>
        <w:t xml:space="preserve"> vision and strategic direction for RoS beyond 2024" to</w:t>
      </w:r>
      <w:r>
        <w:rPr>
          <w:rFonts w:ascii="Arial" w:hAnsi="Arial" w:cs="Arial"/>
        </w:rPr>
        <w:t>;</w:t>
      </w:r>
    </w:p>
    <w:p w14:paraId="194B878F" w14:textId="77777777" w:rsidR="001611D7" w:rsidRDefault="001611D7" w:rsidP="001611D7">
      <w:pPr>
        <w:ind w:left="720"/>
        <w:jc w:val="both"/>
        <w:rPr>
          <w:rFonts w:ascii="Arial" w:hAnsi="Arial" w:cs="Arial"/>
        </w:rPr>
      </w:pPr>
    </w:p>
    <w:p w14:paraId="7BC4C5E0" w14:textId="77777777" w:rsidR="001611D7" w:rsidRDefault="001611D7" w:rsidP="001611D7">
      <w:pPr>
        <w:ind w:left="720"/>
        <w:jc w:val="both"/>
        <w:rPr>
          <w:rFonts w:ascii="Arial" w:hAnsi="Arial" w:cs="Arial"/>
        </w:rPr>
      </w:pPr>
      <w:r w:rsidRPr="001611D7">
        <w:rPr>
          <w:rFonts w:ascii="Arial" w:hAnsi="Arial" w:cs="Arial"/>
        </w:rPr>
        <w:t xml:space="preserve">"There is a threat that insufficient strategic thinking will inhibit our ability to </w:t>
      </w:r>
      <w:r w:rsidRPr="001611D7">
        <w:rPr>
          <w:rFonts w:ascii="Arial" w:hAnsi="Arial" w:cs="Arial"/>
          <w:b/>
          <w:bCs/>
        </w:rPr>
        <w:t>realise our</w:t>
      </w:r>
      <w:r w:rsidRPr="001611D7">
        <w:rPr>
          <w:rFonts w:ascii="Arial" w:hAnsi="Arial" w:cs="Arial"/>
        </w:rPr>
        <w:t xml:space="preserve"> </w:t>
      </w:r>
      <w:proofErr w:type="gramStart"/>
      <w:r w:rsidRPr="001611D7">
        <w:rPr>
          <w:rFonts w:ascii="Arial" w:hAnsi="Arial" w:cs="Arial"/>
        </w:rPr>
        <w:t>long term</w:t>
      </w:r>
      <w:proofErr w:type="gramEnd"/>
      <w:r w:rsidRPr="001611D7">
        <w:rPr>
          <w:rFonts w:ascii="Arial" w:hAnsi="Arial" w:cs="Arial"/>
        </w:rPr>
        <w:t xml:space="preserve"> vision and </w:t>
      </w:r>
      <w:r w:rsidRPr="001611D7">
        <w:rPr>
          <w:rFonts w:ascii="Arial" w:hAnsi="Arial" w:cs="Arial"/>
          <w:b/>
          <w:bCs/>
        </w:rPr>
        <w:t>respond strategically</w:t>
      </w:r>
      <w:r w:rsidRPr="001611D7">
        <w:rPr>
          <w:rFonts w:ascii="Arial" w:hAnsi="Arial" w:cs="Arial"/>
        </w:rPr>
        <w:t xml:space="preserve"> beyond 2024".</w:t>
      </w:r>
    </w:p>
    <w:p w14:paraId="51C881FE" w14:textId="77777777" w:rsidR="001611D7" w:rsidRDefault="001611D7" w:rsidP="001611D7">
      <w:pPr>
        <w:ind w:left="720"/>
        <w:jc w:val="both"/>
        <w:rPr>
          <w:rFonts w:ascii="Arial" w:hAnsi="Arial" w:cs="Arial"/>
        </w:rPr>
      </w:pPr>
    </w:p>
    <w:p w14:paraId="47611C3A" w14:textId="53C47649" w:rsidR="00C53A6C" w:rsidRDefault="001611D7" w:rsidP="001611D7">
      <w:pPr>
        <w:ind w:firstLine="720"/>
        <w:jc w:val="both"/>
        <w:rPr>
          <w:rFonts w:ascii="Arial" w:hAnsi="Arial" w:cs="Arial"/>
        </w:rPr>
      </w:pPr>
      <w:r w:rsidRPr="001611D7">
        <w:rPr>
          <w:rFonts w:ascii="Arial" w:hAnsi="Arial" w:cs="Arial"/>
        </w:rPr>
        <w:t>Route to target updated with additional elements, achievement of target risk score now anticipated in Q4 22-23</w:t>
      </w:r>
      <w:r>
        <w:rPr>
          <w:rFonts w:ascii="Arial" w:hAnsi="Arial" w:cs="Arial"/>
        </w:rPr>
        <w:t xml:space="preserve"> (from Q3 in previous scenario):</w:t>
      </w:r>
    </w:p>
    <w:p w14:paraId="445763A2" w14:textId="67960661" w:rsidR="001611D7" w:rsidRDefault="001611D7" w:rsidP="001611D7">
      <w:pPr>
        <w:ind w:firstLine="720"/>
        <w:jc w:val="both"/>
        <w:rPr>
          <w:rFonts w:ascii="Arial" w:hAnsi="Arial" w:cs="Arial"/>
        </w:rPr>
      </w:pPr>
    </w:p>
    <w:p w14:paraId="017FB0DA" w14:textId="10664A49" w:rsidR="001611D7" w:rsidRDefault="001611D7" w:rsidP="001611D7">
      <w:pPr>
        <w:ind w:firstLine="720"/>
        <w:jc w:val="center"/>
        <w:rPr>
          <w:rFonts w:ascii="Arial" w:hAnsi="Arial" w:cs="Arial"/>
        </w:rPr>
      </w:pPr>
      <w:r>
        <w:rPr>
          <w:rFonts w:ascii="Arial" w:hAnsi="Arial" w:cs="Arial"/>
          <w:noProof/>
        </w:rPr>
        <w:drawing>
          <wp:inline distT="0" distB="0" distL="0" distR="0" wp14:anchorId="185BBFF7" wp14:editId="2503732D">
            <wp:extent cx="5416550" cy="22665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1131" cy="2297743"/>
                    </a:xfrm>
                    <a:prstGeom prst="rect">
                      <a:avLst/>
                    </a:prstGeom>
                    <a:noFill/>
                  </pic:spPr>
                </pic:pic>
              </a:graphicData>
            </a:graphic>
          </wp:inline>
        </w:drawing>
      </w:r>
    </w:p>
    <w:p w14:paraId="3F3C8A31" w14:textId="77777777" w:rsidR="001611D7" w:rsidRDefault="001611D7" w:rsidP="001611D7">
      <w:pPr>
        <w:ind w:firstLine="720"/>
        <w:jc w:val="center"/>
        <w:rPr>
          <w:rFonts w:ascii="Arial" w:hAnsi="Arial" w:cs="Arial"/>
        </w:rPr>
      </w:pPr>
    </w:p>
    <w:p w14:paraId="1A648ACA" w14:textId="77777777" w:rsidR="00C53A6C" w:rsidRPr="005A3D21" w:rsidRDefault="00C53A6C" w:rsidP="00C53A6C">
      <w:pPr>
        <w:spacing w:after="240"/>
        <w:jc w:val="both"/>
        <w:rPr>
          <w:rFonts w:ascii="Arial" w:hAnsi="Arial" w:cs="Arial"/>
          <w:b/>
          <w:bCs/>
          <w:color w:val="000000" w:themeColor="text1"/>
        </w:rPr>
      </w:pPr>
      <w:r w:rsidRPr="005A3D21">
        <w:rPr>
          <w:rFonts w:ascii="Arial" w:hAnsi="Arial" w:cs="Arial"/>
          <w:b/>
          <w:bCs/>
          <w:color w:val="000000" w:themeColor="text1"/>
        </w:rPr>
        <w:t>Draft Risk Management Policy 2022</w:t>
      </w:r>
    </w:p>
    <w:p w14:paraId="1E2D202E" w14:textId="401CD159" w:rsidR="00C53A6C" w:rsidRDefault="00C53A6C" w:rsidP="00C53A6C">
      <w:pPr>
        <w:numPr>
          <w:ilvl w:val="0"/>
          <w:numId w:val="1"/>
        </w:numPr>
        <w:spacing w:after="240"/>
        <w:jc w:val="both"/>
        <w:rPr>
          <w:rFonts w:ascii="Arial" w:hAnsi="Arial" w:cs="Arial"/>
          <w:lang w:eastAsia="en-US"/>
        </w:rPr>
      </w:pPr>
      <w:r>
        <w:rPr>
          <w:rFonts w:ascii="Arial" w:hAnsi="Arial" w:cs="Arial"/>
          <w:lang w:eastAsia="en-US"/>
        </w:rPr>
        <w:t>The draft policy is at Annex 2. One addition and one minor change are proposed:</w:t>
      </w:r>
    </w:p>
    <w:p w14:paraId="44385269" w14:textId="77777777" w:rsidR="00C53A6C" w:rsidRPr="00E53B80" w:rsidRDefault="00C53A6C" w:rsidP="00C53A6C">
      <w:pPr>
        <w:numPr>
          <w:ilvl w:val="1"/>
          <w:numId w:val="1"/>
        </w:numPr>
        <w:spacing w:after="240"/>
        <w:ind w:left="1080"/>
        <w:jc w:val="both"/>
        <w:rPr>
          <w:rFonts w:ascii="Arial" w:hAnsi="Arial" w:cs="Arial"/>
          <w:lang w:eastAsia="en-US"/>
        </w:rPr>
      </w:pPr>
      <w:r>
        <w:rPr>
          <w:rFonts w:ascii="Arial" w:hAnsi="Arial" w:cs="Arial"/>
          <w:lang w:eastAsia="en-US"/>
        </w:rPr>
        <w:t>Para. 4.3, addition of: “</w:t>
      </w:r>
      <w:r>
        <w:rPr>
          <w:rFonts w:ascii="Arial" w:eastAsiaTheme="minorHAnsi" w:hAnsi="Arial" w:cs="Arial"/>
          <w:lang w:eastAsia="en-US"/>
        </w:rPr>
        <w:t>Heads of Service are responsible for ensuring risk management activity informs business continuity arrangements for their services”.</w:t>
      </w:r>
    </w:p>
    <w:p w14:paraId="3FBE6DD8" w14:textId="77777777" w:rsidR="00C53A6C" w:rsidRPr="00FA3601" w:rsidRDefault="00C53A6C" w:rsidP="00C53A6C">
      <w:pPr>
        <w:spacing w:after="240"/>
        <w:ind w:left="1080"/>
        <w:jc w:val="both"/>
        <w:rPr>
          <w:rFonts w:ascii="Arial" w:hAnsi="Arial" w:cs="Arial"/>
          <w:lang w:eastAsia="en-US"/>
        </w:rPr>
      </w:pPr>
      <w:r>
        <w:rPr>
          <w:rFonts w:ascii="Arial" w:eastAsiaTheme="minorHAnsi" w:hAnsi="Arial" w:cs="Arial"/>
          <w:lang w:eastAsia="en-US"/>
        </w:rPr>
        <w:t xml:space="preserve">This responds to recommendation 2 in the March 2022 business continuity planning internal audit report (to better connect risk management and </w:t>
      </w:r>
      <w:r>
        <w:rPr>
          <w:rFonts w:ascii="Arial" w:eastAsiaTheme="minorHAnsi" w:hAnsi="Arial" w:cs="Arial"/>
          <w:lang w:eastAsia="en-US"/>
        </w:rPr>
        <w:lastRenderedPageBreak/>
        <w:t xml:space="preserve">business continuity planning). ERM will provide support and guidance for Heads of Service to enable them to meet this new policy requirement. </w:t>
      </w:r>
    </w:p>
    <w:p w14:paraId="0788E04C" w14:textId="77777777" w:rsidR="00C53A6C" w:rsidRPr="00F63C1D" w:rsidRDefault="00C53A6C" w:rsidP="00C53A6C">
      <w:pPr>
        <w:numPr>
          <w:ilvl w:val="1"/>
          <w:numId w:val="1"/>
        </w:numPr>
        <w:spacing w:after="240"/>
        <w:ind w:left="1080"/>
        <w:jc w:val="both"/>
        <w:rPr>
          <w:rFonts w:ascii="Arial" w:hAnsi="Arial" w:cs="Arial"/>
          <w:lang w:eastAsia="en-US"/>
        </w:rPr>
      </w:pPr>
      <w:r>
        <w:rPr>
          <w:rFonts w:ascii="Arial" w:eastAsiaTheme="minorHAnsi" w:hAnsi="Arial" w:cs="Arial"/>
          <w:lang w:eastAsia="en-US"/>
        </w:rPr>
        <w:t>Para. 4.5, change: “consultancy” removed, “support” substituted.</w:t>
      </w:r>
    </w:p>
    <w:p w14:paraId="29117B82" w14:textId="77777777" w:rsidR="00C53A6C" w:rsidRPr="00CA551F" w:rsidRDefault="00C53A6C" w:rsidP="00C53A6C">
      <w:pPr>
        <w:spacing w:after="240"/>
        <w:ind w:left="1080"/>
        <w:jc w:val="both"/>
        <w:rPr>
          <w:rFonts w:ascii="Arial" w:hAnsi="Arial" w:cs="Arial"/>
        </w:rPr>
      </w:pPr>
      <w:r>
        <w:rPr>
          <w:rFonts w:ascii="Arial" w:eastAsiaTheme="minorHAnsi" w:hAnsi="Arial" w:cs="Arial"/>
          <w:lang w:eastAsia="en-US"/>
        </w:rPr>
        <w:t xml:space="preserve">This better reflects the current ERM service offer.  </w:t>
      </w:r>
    </w:p>
    <w:p w14:paraId="1EBBF109" w14:textId="728FC063" w:rsidR="00C53A6C" w:rsidRPr="00B73660" w:rsidRDefault="00C53A6C" w:rsidP="00C53A6C">
      <w:pPr>
        <w:numPr>
          <w:ilvl w:val="0"/>
          <w:numId w:val="1"/>
        </w:numPr>
        <w:spacing w:after="240"/>
        <w:jc w:val="both"/>
        <w:rPr>
          <w:rFonts w:ascii="Arial" w:hAnsi="Arial" w:cs="Arial"/>
        </w:rPr>
      </w:pPr>
      <w:r>
        <w:rPr>
          <w:rFonts w:ascii="Arial" w:hAnsi="Arial" w:cs="Arial"/>
          <w:lang w:val="en-US"/>
        </w:rPr>
        <w:t>The EMT approved timescale for 2022 annual review of the risk management policy is noted in the draft policy. EMT and ARC have reviewed the proposed changes and support their adoption. PCS have reviewed the policy and offered no comment.</w:t>
      </w:r>
    </w:p>
    <w:p w14:paraId="4DE9E3A2" w14:textId="77777777" w:rsidR="00E308F4" w:rsidRDefault="00E308F4" w:rsidP="00186245">
      <w:pPr>
        <w:jc w:val="both"/>
        <w:rPr>
          <w:rFonts w:ascii="Arial" w:hAnsi="Arial" w:cs="Arial"/>
          <w:b/>
        </w:rPr>
      </w:pPr>
      <w:r>
        <w:rPr>
          <w:rFonts w:ascii="Arial" w:hAnsi="Arial" w:cs="Arial"/>
          <w:b/>
        </w:rPr>
        <w:t>Conclusion</w:t>
      </w:r>
    </w:p>
    <w:p w14:paraId="20CE9B70" w14:textId="77777777" w:rsidR="00E308F4" w:rsidRDefault="00E308F4" w:rsidP="00186245">
      <w:pPr>
        <w:jc w:val="both"/>
        <w:rPr>
          <w:rFonts w:ascii="Arial" w:hAnsi="Arial" w:cs="Arial"/>
        </w:rPr>
      </w:pPr>
    </w:p>
    <w:p w14:paraId="7F5F227B" w14:textId="75FE7417" w:rsidR="0070660A" w:rsidRPr="005B165A" w:rsidRDefault="0070660A" w:rsidP="00C53A6C">
      <w:pPr>
        <w:numPr>
          <w:ilvl w:val="0"/>
          <w:numId w:val="1"/>
        </w:numPr>
        <w:jc w:val="both"/>
        <w:rPr>
          <w:rFonts w:ascii="Arial" w:hAnsi="Arial" w:cs="Arial"/>
        </w:rPr>
      </w:pPr>
      <w:r w:rsidRPr="005B165A">
        <w:rPr>
          <w:rFonts w:ascii="Arial" w:hAnsi="Arial" w:cs="Arial"/>
        </w:rPr>
        <w:t>RoS Board to re</w:t>
      </w:r>
      <w:r>
        <w:rPr>
          <w:rFonts w:ascii="Arial" w:hAnsi="Arial" w:cs="Arial"/>
        </w:rPr>
        <w:t xml:space="preserve">view the KRR update and Risk Management policy </w:t>
      </w:r>
      <w:r w:rsidRPr="005B165A">
        <w:rPr>
          <w:rFonts w:ascii="Arial" w:hAnsi="Arial" w:cs="Arial"/>
        </w:rPr>
        <w:t>at Annexes 1</w:t>
      </w:r>
      <w:r>
        <w:rPr>
          <w:rFonts w:ascii="Arial" w:hAnsi="Arial" w:cs="Arial"/>
        </w:rPr>
        <w:t xml:space="preserve"> and</w:t>
      </w:r>
      <w:r w:rsidRPr="005B165A">
        <w:rPr>
          <w:rFonts w:ascii="Arial" w:hAnsi="Arial" w:cs="Arial"/>
        </w:rPr>
        <w:t xml:space="preserve"> 2</w:t>
      </w:r>
      <w:r>
        <w:rPr>
          <w:rFonts w:ascii="Arial" w:hAnsi="Arial" w:cs="Arial"/>
        </w:rPr>
        <w:t>,</w:t>
      </w:r>
      <w:r w:rsidRPr="005B165A">
        <w:rPr>
          <w:rFonts w:ascii="Arial" w:hAnsi="Arial" w:cs="Arial"/>
        </w:rPr>
        <w:t xml:space="preserve"> and consider the background, topic matter and recommendations in this paper for advice to the Keeper</w:t>
      </w:r>
      <w:r>
        <w:rPr>
          <w:rFonts w:ascii="Arial" w:hAnsi="Arial" w:cs="Arial"/>
        </w:rPr>
        <w:t xml:space="preserve"> and EMT.</w:t>
      </w:r>
    </w:p>
    <w:p w14:paraId="3A106DA7" w14:textId="77777777" w:rsidR="00E308F4" w:rsidRDefault="00E308F4" w:rsidP="00186245">
      <w:pPr>
        <w:jc w:val="both"/>
        <w:rPr>
          <w:rFonts w:ascii="Arial" w:hAnsi="Arial" w:cs="Arial"/>
        </w:rPr>
      </w:pPr>
    </w:p>
    <w:p w14:paraId="6D1522A8" w14:textId="77777777" w:rsidR="00AB0641" w:rsidRDefault="00AB0641" w:rsidP="00AB0641">
      <w:pPr>
        <w:ind w:left="1440" w:hanging="1440"/>
        <w:jc w:val="both"/>
        <w:rPr>
          <w:rFonts w:ascii="Arial" w:hAnsi="Arial" w:cs="Arial"/>
          <w:b/>
        </w:rPr>
      </w:pPr>
      <w:r>
        <w:rPr>
          <w:rFonts w:ascii="Arial" w:hAnsi="Arial" w:cs="Arial"/>
          <w:b/>
        </w:rPr>
        <w:t>Head of Enterprise Risk Management</w:t>
      </w:r>
    </w:p>
    <w:p w14:paraId="40D254DB" w14:textId="00747E12" w:rsidR="0037570E" w:rsidRDefault="00AB0641" w:rsidP="00AB0641">
      <w:pPr>
        <w:ind w:left="1440" w:hanging="1440"/>
        <w:jc w:val="both"/>
        <w:rPr>
          <w:rFonts w:ascii="Arial" w:hAnsi="Arial" w:cs="Arial"/>
          <w:b/>
        </w:rPr>
      </w:pPr>
      <w:r>
        <w:rPr>
          <w:rFonts w:ascii="Arial" w:hAnsi="Arial" w:cs="Arial"/>
          <w:b/>
        </w:rPr>
        <w:t>29 November 2022</w:t>
      </w:r>
    </w:p>
    <w:p w14:paraId="10151A69" w14:textId="77777777" w:rsidR="0037570E" w:rsidRDefault="0037570E">
      <w:pPr>
        <w:spacing w:after="160" w:line="259" w:lineRule="auto"/>
        <w:rPr>
          <w:rFonts w:ascii="Arial" w:hAnsi="Arial" w:cs="Arial"/>
          <w:b/>
        </w:rPr>
      </w:pPr>
      <w:r>
        <w:rPr>
          <w:rFonts w:ascii="Arial" w:hAnsi="Arial" w:cs="Arial"/>
          <w:b/>
        </w:rPr>
        <w:br w:type="page"/>
      </w:r>
    </w:p>
    <w:p w14:paraId="301493B5" w14:textId="08E6B5F6" w:rsidR="000B4350" w:rsidRDefault="0037570E" w:rsidP="00AB0641">
      <w:pPr>
        <w:ind w:left="1440" w:hanging="1440"/>
        <w:jc w:val="both"/>
        <w:rPr>
          <w:rFonts w:ascii="Arial" w:hAnsi="Arial" w:cs="Arial"/>
          <w:b/>
        </w:rPr>
      </w:pPr>
      <w:r>
        <w:rPr>
          <w:rFonts w:ascii="Arial" w:hAnsi="Arial" w:cs="Arial"/>
          <w:b/>
        </w:rPr>
        <w:lastRenderedPageBreak/>
        <w:t>Annex 1</w:t>
      </w:r>
    </w:p>
    <w:p w14:paraId="4C0B13E8" w14:textId="1AE1E3CF" w:rsidR="0037570E" w:rsidRDefault="000B4350" w:rsidP="00AB0641">
      <w:pPr>
        <w:ind w:left="1440" w:hanging="1440"/>
        <w:jc w:val="both"/>
        <w:rPr>
          <w:rFonts w:ascii="Arial" w:hAnsi="Arial" w:cs="Arial"/>
          <w:b/>
        </w:rPr>
      </w:pPr>
      <w:r>
        <w:rPr>
          <w:noProof/>
        </w:rPr>
        <w:drawing>
          <wp:inline distT="0" distB="0" distL="0" distR="0" wp14:anchorId="66ED3BBD" wp14:editId="510005AE">
            <wp:extent cx="5731510" cy="6313170"/>
            <wp:effectExtent l="0" t="0" r="254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5731510" cy="6313170"/>
                    </a:xfrm>
                    <a:prstGeom prst="rect">
                      <a:avLst/>
                    </a:prstGeom>
                  </pic:spPr>
                </pic:pic>
              </a:graphicData>
            </a:graphic>
          </wp:inline>
        </w:drawing>
      </w:r>
    </w:p>
    <w:p w14:paraId="75149FF9" w14:textId="77777777" w:rsidR="00C53A6C" w:rsidRDefault="00C53A6C" w:rsidP="000B4350">
      <w:pPr>
        <w:spacing w:after="160" w:line="259" w:lineRule="auto"/>
        <w:jc w:val="center"/>
        <w:rPr>
          <w:rFonts w:ascii="Arial" w:hAnsi="Arial" w:cs="Arial"/>
          <w:b/>
        </w:rPr>
      </w:pPr>
    </w:p>
    <w:p w14:paraId="1BDA7E13" w14:textId="77C900B1" w:rsidR="0037570E" w:rsidRDefault="00C53A6C" w:rsidP="000B4350">
      <w:pPr>
        <w:spacing w:after="160" w:line="259" w:lineRule="auto"/>
        <w:jc w:val="center"/>
        <w:rPr>
          <w:rFonts w:ascii="Arial" w:hAnsi="Arial" w:cs="Arial"/>
          <w:b/>
        </w:rPr>
      </w:pPr>
      <w:r>
        <w:rPr>
          <w:rFonts w:ascii="Arial" w:hAnsi="Arial" w:cs="Arial"/>
          <w:b/>
          <w:noProof/>
        </w:rPr>
        <w:drawing>
          <wp:inline distT="0" distB="0" distL="0" distR="0" wp14:anchorId="008D104C" wp14:editId="3412FD9D">
            <wp:extent cx="5449156" cy="238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9627" cy="2400951"/>
                    </a:xfrm>
                    <a:prstGeom prst="rect">
                      <a:avLst/>
                    </a:prstGeom>
                    <a:noFill/>
                  </pic:spPr>
                </pic:pic>
              </a:graphicData>
            </a:graphic>
          </wp:inline>
        </w:drawing>
      </w:r>
      <w:r w:rsidR="0037570E">
        <w:rPr>
          <w:rFonts w:ascii="Arial" w:hAnsi="Arial" w:cs="Arial"/>
          <w:b/>
        </w:rPr>
        <w:br w:type="page"/>
      </w:r>
    </w:p>
    <w:p w14:paraId="28235993" w14:textId="0C8AC1F5" w:rsidR="0037570E" w:rsidRDefault="0037570E" w:rsidP="0037570E">
      <w:pPr>
        <w:spacing w:after="160" w:line="259" w:lineRule="auto"/>
        <w:rPr>
          <w:rFonts w:ascii="Arial" w:hAnsi="Arial" w:cs="Arial"/>
          <w:b/>
        </w:rPr>
      </w:pPr>
      <w:r>
        <w:rPr>
          <w:rFonts w:ascii="Arial" w:hAnsi="Arial" w:cs="Arial"/>
          <w:b/>
        </w:rPr>
        <w:lastRenderedPageBreak/>
        <w:t>Annex 2</w:t>
      </w:r>
    </w:p>
    <w:p w14:paraId="3889240F" w14:textId="77777777" w:rsidR="00C53A6C" w:rsidRPr="00E4212F" w:rsidRDefault="00C53A6C" w:rsidP="00C53A6C">
      <w:pPr>
        <w:spacing w:after="160" w:line="259" w:lineRule="auto"/>
        <w:jc w:val="center"/>
        <w:rPr>
          <w:rFonts w:ascii="Arial" w:eastAsiaTheme="minorHAnsi" w:hAnsi="Arial" w:cs="Arial"/>
          <w:b/>
          <w:sz w:val="36"/>
          <w:szCs w:val="36"/>
          <w:lang w:eastAsia="en-US"/>
        </w:rPr>
      </w:pPr>
      <w:r>
        <w:rPr>
          <w:rFonts w:ascii="Arial" w:eastAsiaTheme="minorHAnsi" w:hAnsi="Arial" w:cs="Arial"/>
          <w:b/>
          <w:sz w:val="36"/>
          <w:szCs w:val="36"/>
          <w:lang w:eastAsia="en-US"/>
        </w:rPr>
        <w:t>Risk Management Policy</w:t>
      </w:r>
    </w:p>
    <w:tbl>
      <w:tblPr>
        <w:tblStyle w:val="TableGrid"/>
        <w:tblW w:w="0" w:type="auto"/>
        <w:tblLook w:val="04A0" w:firstRow="1" w:lastRow="0" w:firstColumn="1" w:lastColumn="0" w:noHBand="0" w:noVBand="1"/>
      </w:tblPr>
      <w:tblGrid>
        <w:gridCol w:w="2405"/>
        <w:gridCol w:w="3305"/>
        <w:gridCol w:w="1653"/>
        <w:gridCol w:w="1653"/>
      </w:tblGrid>
      <w:tr w:rsidR="00C53A6C" w:rsidRPr="00E4212F" w14:paraId="0AE61C38" w14:textId="77777777" w:rsidTr="0099135D">
        <w:tc>
          <w:tcPr>
            <w:tcW w:w="2405" w:type="dxa"/>
          </w:tcPr>
          <w:p w14:paraId="0039329D"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Author</w:t>
            </w:r>
          </w:p>
        </w:tc>
        <w:tc>
          <w:tcPr>
            <w:tcW w:w="6611" w:type="dxa"/>
            <w:gridSpan w:val="3"/>
          </w:tcPr>
          <w:p w14:paraId="2D575860"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Head of Enterprise Risk Management</w:t>
            </w:r>
          </w:p>
        </w:tc>
      </w:tr>
      <w:tr w:rsidR="00C53A6C" w:rsidRPr="00E4212F" w14:paraId="6B0533E0" w14:textId="77777777" w:rsidTr="0099135D">
        <w:tc>
          <w:tcPr>
            <w:tcW w:w="2405" w:type="dxa"/>
          </w:tcPr>
          <w:p w14:paraId="38D53AD4"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Reviewed</w:t>
            </w:r>
          </w:p>
        </w:tc>
        <w:tc>
          <w:tcPr>
            <w:tcW w:w="6611" w:type="dxa"/>
            <w:gridSpan w:val="3"/>
          </w:tcPr>
          <w:p w14:paraId="673EB07A"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Head of Risk &amp; Information Governance</w:t>
            </w:r>
          </w:p>
        </w:tc>
      </w:tr>
      <w:tr w:rsidR="00C53A6C" w:rsidRPr="00E4212F" w14:paraId="136699A6" w14:textId="77777777" w:rsidTr="0099135D">
        <w:tc>
          <w:tcPr>
            <w:tcW w:w="2405" w:type="dxa"/>
          </w:tcPr>
          <w:p w14:paraId="41A4065F"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Cleared</w:t>
            </w:r>
          </w:p>
        </w:tc>
        <w:tc>
          <w:tcPr>
            <w:tcW w:w="6611" w:type="dxa"/>
            <w:gridSpan w:val="3"/>
          </w:tcPr>
          <w:p w14:paraId="4C9536DD"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Corporate Services Director</w:t>
            </w:r>
          </w:p>
        </w:tc>
      </w:tr>
      <w:tr w:rsidR="00C53A6C" w:rsidRPr="00E4212F" w14:paraId="1E1AB93C" w14:textId="77777777" w:rsidTr="0099135D">
        <w:tc>
          <w:tcPr>
            <w:tcW w:w="2405" w:type="dxa"/>
          </w:tcPr>
          <w:p w14:paraId="62213537"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Approval</w:t>
            </w:r>
          </w:p>
        </w:tc>
        <w:tc>
          <w:tcPr>
            <w:tcW w:w="3305" w:type="dxa"/>
          </w:tcPr>
          <w:p w14:paraId="2F037CDD"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EMT</w:t>
            </w:r>
          </w:p>
        </w:tc>
        <w:tc>
          <w:tcPr>
            <w:tcW w:w="1653" w:type="dxa"/>
          </w:tcPr>
          <w:p w14:paraId="33D9E3C2"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Approval Date</w:t>
            </w:r>
          </w:p>
        </w:tc>
        <w:tc>
          <w:tcPr>
            <w:tcW w:w="1653" w:type="dxa"/>
          </w:tcPr>
          <w:p w14:paraId="4903492A"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15/12/22</w:t>
            </w:r>
          </w:p>
        </w:tc>
      </w:tr>
      <w:tr w:rsidR="00C53A6C" w:rsidRPr="00E4212F" w14:paraId="3A685F0D" w14:textId="77777777" w:rsidTr="0099135D">
        <w:tc>
          <w:tcPr>
            <w:tcW w:w="2405" w:type="dxa"/>
          </w:tcPr>
          <w:p w14:paraId="0240F8A2"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Policy Version</w:t>
            </w:r>
          </w:p>
        </w:tc>
        <w:tc>
          <w:tcPr>
            <w:tcW w:w="6611" w:type="dxa"/>
            <w:gridSpan w:val="3"/>
          </w:tcPr>
          <w:p w14:paraId="118F1D6B"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w:t>
            </w:r>
          </w:p>
        </w:tc>
      </w:tr>
      <w:tr w:rsidR="00C53A6C" w:rsidRPr="00E4212F" w14:paraId="57E46EEC" w14:textId="77777777" w:rsidTr="0099135D">
        <w:tc>
          <w:tcPr>
            <w:tcW w:w="2405" w:type="dxa"/>
          </w:tcPr>
          <w:p w14:paraId="511343A6"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Review Responsibility</w:t>
            </w:r>
          </w:p>
        </w:tc>
        <w:tc>
          <w:tcPr>
            <w:tcW w:w="3305" w:type="dxa"/>
          </w:tcPr>
          <w:p w14:paraId="6B170D8B" w14:textId="77777777" w:rsidR="00C53A6C"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RoS Board</w:t>
            </w:r>
          </w:p>
          <w:p w14:paraId="6E6F9052" w14:textId="77777777" w:rsidR="00C53A6C"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ARC</w:t>
            </w:r>
          </w:p>
          <w:p w14:paraId="49007953" w14:textId="77777777" w:rsidR="00C53A6C"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PCS </w:t>
            </w:r>
          </w:p>
          <w:p w14:paraId="323B2F68"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EMT</w:t>
            </w:r>
          </w:p>
        </w:tc>
        <w:tc>
          <w:tcPr>
            <w:tcW w:w="1653" w:type="dxa"/>
          </w:tcPr>
          <w:p w14:paraId="239682D9"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Review Date</w:t>
            </w:r>
          </w:p>
        </w:tc>
        <w:tc>
          <w:tcPr>
            <w:tcW w:w="1653" w:type="dxa"/>
          </w:tcPr>
          <w:p w14:paraId="60267F0B" w14:textId="77777777" w:rsidR="00C53A6C"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13/12/22</w:t>
            </w:r>
          </w:p>
          <w:p w14:paraId="3FE4BC63" w14:textId="77777777" w:rsidR="00C53A6C"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08/11/22</w:t>
            </w:r>
          </w:p>
          <w:p w14:paraId="451BF150" w14:textId="77777777" w:rsidR="00C53A6C"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14/10/22</w:t>
            </w:r>
          </w:p>
          <w:p w14:paraId="5C05719D"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29/09/22</w:t>
            </w:r>
          </w:p>
        </w:tc>
      </w:tr>
      <w:tr w:rsidR="00C53A6C" w:rsidRPr="00E4212F" w14:paraId="4146C3E4" w14:textId="77777777" w:rsidTr="0099135D">
        <w:tc>
          <w:tcPr>
            <w:tcW w:w="2405" w:type="dxa"/>
          </w:tcPr>
          <w:p w14:paraId="71803A3C"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Suitable for Publication</w:t>
            </w:r>
          </w:p>
        </w:tc>
        <w:tc>
          <w:tcPr>
            <w:tcW w:w="6611" w:type="dxa"/>
            <w:gridSpan w:val="3"/>
          </w:tcPr>
          <w:p w14:paraId="5F46FC37"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Y</w:t>
            </w:r>
          </w:p>
        </w:tc>
      </w:tr>
      <w:tr w:rsidR="00C53A6C" w:rsidRPr="00E4212F" w14:paraId="2E36957D" w14:textId="77777777" w:rsidTr="0099135D">
        <w:tc>
          <w:tcPr>
            <w:tcW w:w="2405" w:type="dxa"/>
          </w:tcPr>
          <w:p w14:paraId="52D5C99C"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Contact:</w:t>
            </w:r>
          </w:p>
        </w:tc>
        <w:tc>
          <w:tcPr>
            <w:tcW w:w="6611" w:type="dxa"/>
            <w:gridSpan w:val="3"/>
          </w:tcPr>
          <w:p w14:paraId="6EA43FF5" w14:textId="77777777" w:rsidR="00C53A6C" w:rsidRPr="00E4212F" w:rsidRDefault="00C53A6C" w:rsidP="0099135D">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rossecretariat@ros.gov.uk</w:t>
            </w:r>
          </w:p>
        </w:tc>
      </w:tr>
    </w:tbl>
    <w:p w14:paraId="7F119D12" w14:textId="77777777" w:rsidR="00C53A6C" w:rsidRPr="00E4212F" w:rsidRDefault="00C53A6C" w:rsidP="00C53A6C">
      <w:pPr>
        <w:spacing w:after="160" w:line="259" w:lineRule="auto"/>
        <w:rPr>
          <w:rFonts w:ascii="Arial" w:eastAsiaTheme="minorHAnsi" w:hAnsi="Arial" w:cs="Arial"/>
          <w:b/>
          <w:sz w:val="36"/>
          <w:szCs w:val="36"/>
          <w:lang w:eastAsia="en-US"/>
        </w:rPr>
      </w:pPr>
    </w:p>
    <w:p w14:paraId="61C3B260" w14:textId="77777777" w:rsidR="00C53A6C" w:rsidRPr="00E4212F" w:rsidRDefault="00C53A6C" w:rsidP="00C53A6C">
      <w:pPr>
        <w:spacing w:after="160" w:line="259" w:lineRule="auto"/>
        <w:rPr>
          <w:rFonts w:ascii="Arial" w:eastAsiaTheme="minorHAnsi" w:hAnsi="Arial" w:cs="Arial"/>
          <w:b/>
          <w:sz w:val="32"/>
          <w:szCs w:val="32"/>
          <w:lang w:eastAsia="en-US"/>
        </w:rPr>
      </w:pPr>
      <w:r w:rsidRPr="00E4212F">
        <w:rPr>
          <w:rFonts w:ascii="Arial" w:eastAsiaTheme="minorHAnsi" w:hAnsi="Arial" w:cs="Arial"/>
          <w:b/>
          <w:sz w:val="32"/>
          <w:szCs w:val="32"/>
          <w:lang w:eastAsia="en-US"/>
        </w:rPr>
        <w:t>1 Purpose and Scope</w:t>
      </w:r>
    </w:p>
    <w:p w14:paraId="2B9EEA03" w14:textId="77777777" w:rsidR="00C53A6C" w:rsidRPr="00EB0DCC" w:rsidRDefault="00C53A6C" w:rsidP="00C53A6C">
      <w:pPr>
        <w:numPr>
          <w:ilvl w:val="1"/>
          <w:numId w:val="10"/>
        </w:numPr>
        <w:spacing w:after="160" w:line="259" w:lineRule="auto"/>
        <w:contextualSpacing/>
        <w:jc w:val="both"/>
        <w:rPr>
          <w:rFonts w:ascii="Arial" w:eastAsiaTheme="minorHAnsi" w:hAnsi="Arial" w:cs="Arial"/>
          <w:lang w:eastAsia="en-US"/>
        </w:rPr>
      </w:pPr>
      <w:r w:rsidRPr="00EB0DCC">
        <w:rPr>
          <w:rFonts w:ascii="Helvetica" w:hAnsi="Helvetica" w:cs="Helvetica"/>
          <w:color w:val="000000"/>
          <w:shd w:val="clear" w:color="auto" w:fill="FFFFFF"/>
        </w:rPr>
        <w:t xml:space="preserve">The RoS Board and Executive Management Team (EMT) recognise that RoS will face a variety of risks in delivering its objectives. </w:t>
      </w:r>
    </w:p>
    <w:p w14:paraId="0A844677" w14:textId="77777777" w:rsidR="00C53A6C" w:rsidRPr="00EB0DCC" w:rsidRDefault="00C53A6C" w:rsidP="00C53A6C">
      <w:pPr>
        <w:numPr>
          <w:ilvl w:val="1"/>
          <w:numId w:val="10"/>
        </w:numPr>
        <w:spacing w:after="160" w:line="259" w:lineRule="auto"/>
        <w:contextualSpacing/>
        <w:jc w:val="both"/>
        <w:rPr>
          <w:rFonts w:ascii="Arial" w:eastAsiaTheme="minorHAnsi" w:hAnsi="Arial" w:cs="Arial"/>
          <w:lang w:eastAsia="en-US"/>
        </w:rPr>
      </w:pPr>
      <w:r w:rsidRPr="00EB0DCC">
        <w:rPr>
          <w:rFonts w:ascii="Arial" w:eastAsiaTheme="minorHAnsi" w:hAnsi="Arial" w:cs="Arial"/>
          <w:lang w:eastAsia="en-US"/>
        </w:rPr>
        <w:t xml:space="preserve">This policy sets out RoS commitment </w:t>
      </w:r>
      <w:r w:rsidRPr="00EB0DCC">
        <w:rPr>
          <w:rFonts w:ascii="Helvetica" w:hAnsi="Helvetica" w:cs="Helvetica"/>
          <w:color w:val="000000"/>
          <w:shd w:val="clear" w:color="auto" w:fill="FFFFFF"/>
        </w:rPr>
        <w:t xml:space="preserve">to responding to the identified threats to achieving our objectives and opportunities for increasing likelihood of success. </w:t>
      </w:r>
    </w:p>
    <w:p w14:paraId="0F9000C0" w14:textId="77777777" w:rsidR="00C53A6C" w:rsidRPr="00EB0DCC" w:rsidRDefault="00C53A6C" w:rsidP="00C53A6C">
      <w:pPr>
        <w:numPr>
          <w:ilvl w:val="1"/>
          <w:numId w:val="10"/>
        </w:numPr>
        <w:spacing w:after="160" w:line="259" w:lineRule="auto"/>
        <w:contextualSpacing/>
        <w:jc w:val="both"/>
        <w:rPr>
          <w:rFonts w:ascii="Arial" w:eastAsiaTheme="minorHAnsi" w:hAnsi="Arial" w:cs="Arial"/>
          <w:lang w:eastAsia="en-US"/>
        </w:rPr>
      </w:pPr>
      <w:r w:rsidRPr="00EB0DCC">
        <w:rPr>
          <w:rFonts w:ascii="Helvetica" w:hAnsi="Helvetica" w:cs="Helvetica"/>
          <w:color w:val="000000"/>
          <w:shd w:val="clear" w:color="auto" w:fill="FFFFFF"/>
        </w:rPr>
        <w:t>In doing so, the Keeper, RoS Board and the EMT are also committed to supporting the benefits from deploying and resourcing an integrated enterprise risk management (ERM) framework for strategic, change and operational risks, set in the context of the Corporate Plan and risk appetite agreed by RoS Board and EMT.</w:t>
      </w:r>
    </w:p>
    <w:p w14:paraId="22797E19" w14:textId="77777777" w:rsidR="00C53A6C" w:rsidRPr="00EB0DCC" w:rsidRDefault="00C53A6C" w:rsidP="00C53A6C">
      <w:pPr>
        <w:numPr>
          <w:ilvl w:val="1"/>
          <w:numId w:val="10"/>
        </w:numPr>
        <w:spacing w:after="160" w:line="259" w:lineRule="auto"/>
        <w:contextualSpacing/>
        <w:jc w:val="both"/>
        <w:rPr>
          <w:rFonts w:ascii="Arial" w:eastAsiaTheme="minorHAnsi" w:hAnsi="Arial" w:cs="Arial"/>
          <w:lang w:eastAsia="en-US"/>
        </w:rPr>
      </w:pPr>
      <w:r>
        <w:rPr>
          <w:rFonts w:ascii="Helvetica" w:hAnsi="Helvetica" w:cs="Helvetica"/>
          <w:color w:val="000000"/>
          <w:shd w:val="clear" w:color="auto" w:fill="FFFFFF"/>
        </w:rPr>
        <w:t xml:space="preserve">This policy applies to all enterprise activities in RoS including all people, processes, premises, technology, </w:t>
      </w:r>
      <w:proofErr w:type="gramStart"/>
      <w:r>
        <w:rPr>
          <w:rFonts w:ascii="Helvetica" w:hAnsi="Helvetica" w:cs="Helvetica"/>
          <w:color w:val="000000"/>
          <w:shd w:val="clear" w:color="auto" w:fill="FFFFFF"/>
        </w:rPr>
        <w:t>information</w:t>
      </w:r>
      <w:proofErr w:type="gramEnd"/>
      <w:r>
        <w:rPr>
          <w:rFonts w:ascii="Helvetica" w:hAnsi="Helvetica" w:cs="Helvetica"/>
          <w:color w:val="000000"/>
          <w:shd w:val="clear" w:color="auto" w:fill="FFFFFF"/>
        </w:rPr>
        <w:t xml:space="preserve"> and supply chain activities.</w:t>
      </w:r>
    </w:p>
    <w:p w14:paraId="29E74F56" w14:textId="77777777" w:rsidR="00C53A6C" w:rsidRPr="00E4212F" w:rsidRDefault="00C53A6C" w:rsidP="00C53A6C">
      <w:pPr>
        <w:spacing w:after="160" w:line="259" w:lineRule="auto"/>
        <w:ind w:left="398"/>
        <w:contextualSpacing/>
        <w:rPr>
          <w:rFonts w:ascii="Arial" w:eastAsiaTheme="minorHAnsi" w:hAnsi="Arial" w:cs="Arial"/>
          <w:lang w:eastAsia="en-US"/>
        </w:rPr>
      </w:pPr>
    </w:p>
    <w:p w14:paraId="29DB704F" w14:textId="77777777" w:rsidR="00C53A6C" w:rsidRPr="00E4212F" w:rsidRDefault="00C53A6C" w:rsidP="00C53A6C">
      <w:pPr>
        <w:spacing w:after="160" w:line="259" w:lineRule="auto"/>
        <w:ind w:left="720" w:hanging="720"/>
        <w:rPr>
          <w:rFonts w:ascii="Arial" w:eastAsiaTheme="minorHAnsi" w:hAnsi="Arial" w:cs="Arial"/>
          <w:b/>
          <w:sz w:val="36"/>
          <w:szCs w:val="36"/>
          <w:lang w:eastAsia="en-US"/>
        </w:rPr>
      </w:pPr>
      <w:r w:rsidRPr="00E4212F">
        <w:rPr>
          <w:rFonts w:ascii="Arial" w:eastAsiaTheme="minorHAnsi" w:hAnsi="Arial" w:cs="Arial"/>
          <w:b/>
          <w:sz w:val="36"/>
          <w:szCs w:val="36"/>
          <w:lang w:eastAsia="en-US"/>
        </w:rPr>
        <w:t>2 Guiding Principles</w:t>
      </w:r>
    </w:p>
    <w:p w14:paraId="627046E9" w14:textId="77777777" w:rsidR="00C53A6C" w:rsidRPr="00D3524F" w:rsidRDefault="00C53A6C" w:rsidP="00C53A6C">
      <w:pPr>
        <w:spacing w:after="160" w:line="259" w:lineRule="auto"/>
        <w:rPr>
          <w:rFonts w:ascii="Arial" w:hAnsi="Arial" w:cs="Arial"/>
          <w:color w:val="000000"/>
        </w:rPr>
      </w:pPr>
      <w:r w:rsidRPr="00D3524F">
        <w:rPr>
          <w:rFonts w:ascii="Arial" w:eastAsiaTheme="minorHAnsi" w:hAnsi="Arial" w:cs="Arial"/>
          <w:lang w:eastAsia="en-US"/>
        </w:rPr>
        <w:t>2.1 The principles of this policy are to</w:t>
      </w:r>
      <w:r w:rsidRPr="00D3524F">
        <w:rPr>
          <w:rFonts w:ascii="Arial" w:hAnsi="Arial" w:cs="Arial"/>
          <w:color w:val="000000"/>
        </w:rPr>
        <w:t>:</w:t>
      </w:r>
    </w:p>
    <w:p w14:paraId="085D4C0A" w14:textId="77777777" w:rsidR="00C53A6C" w:rsidRPr="00D3524F" w:rsidRDefault="00C53A6C" w:rsidP="00C53A6C">
      <w:pPr>
        <w:numPr>
          <w:ilvl w:val="0"/>
          <w:numId w:val="13"/>
        </w:numPr>
        <w:shd w:val="clear" w:color="auto" w:fill="FFFFFF"/>
        <w:tabs>
          <w:tab w:val="clear" w:pos="1800"/>
          <w:tab w:val="num" w:pos="720"/>
        </w:tabs>
        <w:spacing w:before="100" w:beforeAutospacing="1" w:after="100" w:afterAutospacing="1" w:line="300" w:lineRule="atLeast"/>
        <w:ind w:left="375"/>
        <w:rPr>
          <w:rFonts w:ascii="Arial" w:hAnsi="Arial" w:cs="Arial"/>
          <w:color w:val="000000"/>
        </w:rPr>
      </w:pPr>
      <w:r w:rsidRPr="00D3524F">
        <w:rPr>
          <w:rFonts w:ascii="Arial" w:hAnsi="Arial" w:cs="Arial"/>
          <w:color w:val="000000"/>
        </w:rPr>
        <w:t>ensure it is proportionate and fit for purpose in line with the Scottish Public Finance Manual (SPFM) risk management and internal control guidance</w:t>
      </w:r>
    </w:p>
    <w:p w14:paraId="7E3AC49D" w14:textId="77777777" w:rsidR="00C53A6C" w:rsidRPr="00EB0DCC" w:rsidRDefault="00C53A6C" w:rsidP="00C53A6C">
      <w:pPr>
        <w:numPr>
          <w:ilvl w:val="0"/>
          <w:numId w:val="13"/>
        </w:numPr>
        <w:shd w:val="clear" w:color="auto" w:fill="FFFFFF"/>
        <w:tabs>
          <w:tab w:val="clear" w:pos="1800"/>
          <w:tab w:val="num" w:pos="720"/>
        </w:tabs>
        <w:spacing w:before="100" w:beforeAutospacing="1" w:after="100" w:afterAutospacing="1" w:line="300" w:lineRule="atLeast"/>
        <w:ind w:left="375"/>
        <w:rPr>
          <w:rFonts w:ascii="Arial" w:hAnsi="Arial" w:cs="Arial"/>
          <w:color w:val="000000"/>
        </w:rPr>
      </w:pPr>
      <w:r w:rsidRPr="00EB0DCC">
        <w:rPr>
          <w:rFonts w:ascii="Arial" w:hAnsi="Arial" w:cs="Arial"/>
          <w:color w:val="000000"/>
        </w:rPr>
        <w:t>ensure it is aligned to the context set by the Corporate Plan</w:t>
      </w:r>
    </w:p>
    <w:p w14:paraId="2F95C8F3" w14:textId="77777777" w:rsidR="00C53A6C" w:rsidRPr="00EB0DCC" w:rsidRDefault="00C53A6C" w:rsidP="00C53A6C">
      <w:pPr>
        <w:numPr>
          <w:ilvl w:val="0"/>
          <w:numId w:val="13"/>
        </w:numPr>
        <w:shd w:val="clear" w:color="auto" w:fill="FFFFFF"/>
        <w:tabs>
          <w:tab w:val="clear" w:pos="1800"/>
          <w:tab w:val="num" w:pos="720"/>
        </w:tabs>
        <w:spacing w:before="100" w:beforeAutospacing="1" w:after="100" w:afterAutospacing="1" w:line="300" w:lineRule="atLeast"/>
        <w:ind w:left="375"/>
        <w:rPr>
          <w:rFonts w:ascii="Arial" w:hAnsi="Arial" w:cs="Arial"/>
          <w:color w:val="000000"/>
        </w:rPr>
      </w:pPr>
      <w:r w:rsidRPr="00EB0DCC">
        <w:rPr>
          <w:rFonts w:ascii="Arial" w:hAnsi="Arial" w:cs="Arial"/>
          <w:color w:val="000000"/>
        </w:rPr>
        <w:t xml:space="preserve">ensure it has a comprehensive scope covering all of our </w:t>
      </w:r>
      <w:proofErr w:type="gramStart"/>
      <w:r w:rsidRPr="00EB0DCC">
        <w:rPr>
          <w:rFonts w:ascii="Arial" w:hAnsi="Arial" w:cs="Arial"/>
          <w:color w:val="000000"/>
        </w:rPr>
        <w:t>activities</w:t>
      </w:r>
      <w:proofErr w:type="gramEnd"/>
    </w:p>
    <w:p w14:paraId="204AED51" w14:textId="77777777" w:rsidR="00C53A6C" w:rsidRPr="00EB0DCC" w:rsidRDefault="00C53A6C" w:rsidP="00C53A6C">
      <w:pPr>
        <w:numPr>
          <w:ilvl w:val="0"/>
          <w:numId w:val="13"/>
        </w:numPr>
        <w:shd w:val="clear" w:color="auto" w:fill="FFFFFF"/>
        <w:tabs>
          <w:tab w:val="clear" w:pos="1800"/>
          <w:tab w:val="num" w:pos="720"/>
        </w:tabs>
        <w:spacing w:before="100" w:beforeAutospacing="1" w:after="100" w:afterAutospacing="1" w:line="300" w:lineRule="atLeast"/>
        <w:ind w:left="375"/>
        <w:rPr>
          <w:rFonts w:ascii="Arial" w:hAnsi="Arial" w:cs="Arial"/>
          <w:color w:val="000000"/>
        </w:rPr>
      </w:pPr>
      <w:r w:rsidRPr="00EB0DCC">
        <w:rPr>
          <w:rFonts w:ascii="Arial" w:hAnsi="Arial" w:cs="Arial"/>
          <w:color w:val="000000"/>
        </w:rPr>
        <w:t>ensure it is embedded across the organisation</w:t>
      </w:r>
    </w:p>
    <w:p w14:paraId="757F0A80" w14:textId="77777777" w:rsidR="00C53A6C" w:rsidRPr="00EB0DCC" w:rsidRDefault="00C53A6C" w:rsidP="00C53A6C">
      <w:pPr>
        <w:numPr>
          <w:ilvl w:val="0"/>
          <w:numId w:val="13"/>
        </w:numPr>
        <w:shd w:val="clear" w:color="auto" w:fill="FFFFFF"/>
        <w:tabs>
          <w:tab w:val="clear" w:pos="1800"/>
          <w:tab w:val="num" w:pos="720"/>
        </w:tabs>
        <w:spacing w:before="100" w:beforeAutospacing="1" w:after="100" w:afterAutospacing="1" w:line="300" w:lineRule="atLeast"/>
        <w:ind w:left="375"/>
        <w:rPr>
          <w:rFonts w:ascii="Arial" w:hAnsi="Arial" w:cs="Arial"/>
          <w:color w:val="000000"/>
        </w:rPr>
      </w:pPr>
      <w:r w:rsidRPr="00EB0DCC">
        <w:rPr>
          <w:rFonts w:ascii="Arial" w:hAnsi="Arial" w:cs="Arial"/>
          <w:color w:val="000000"/>
        </w:rPr>
        <w:t>ensure it is dynamic to respond to change</w:t>
      </w:r>
    </w:p>
    <w:p w14:paraId="25C2B4AE" w14:textId="77777777" w:rsidR="00C53A6C" w:rsidRPr="00EB0DCC" w:rsidRDefault="00C53A6C" w:rsidP="00C53A6C">
      <w:pPr>
        <w:spacing w:after="160" w:line="259" w:lineRule="auto"/>
        <w:rPr>
          <w:rFonts w:ascii="Arial" w:eastAsiaTheme="minorHAnsi" w:hAnsi="Arial" w:cs="Arial"/>
          <w:b/>
          <w:sz w:val="36"/>
          <w:szCs w:val="36"/>
          <w:lang w:eastAsia="en-US"/>
        </w:rPr>
      </w:pPr>
      <w:r w:rsidRPr="00EB0DCC">
        <w:rPr>
          <w:rFonts w:ascii="Arial" w:eastAsiaTheme="minorHAnsi" w:hAnsi="Arial" w:cs="Arial"/>
          <w:b/>
          <w:sz w:val="36"/>
          <w:szCs w:val="36"/>
          <w:lang w:eastAsia="en-US"/>
        </w:rPr>
        <w:t>3 The Policy</w:t>
      </w:r>
    </w:p>
    <w:p w14:paraId="399A4B82" w14:textId="77777777" w:rsidR="00C53A6C" w:rsidRPr="00EB0DCC" w:rsidRDefault="00C53A6C" w:rsidP="00C53A6C">
      <w:pPr>
        <w:spacing w:after="160" w:line="259" w:lineRule="auto"/>
        <w:rPr>
          <w:rFonts w:ascii="Helvetica" w:hAnsi="Helvetica" w:cs="Helvetica"/>
          <w:color w:val="000000"/>
        </w:rPr>
      </w:pPr>
      <w:r w:rsidRPr="00EB0DCC">
        <w:rPr>
          <w:rFonts w:ascii="Arial" w:eastAsiaTheme="minorHAnsi" w:hAnsi="Arial" w:cs="Arial"/>
          <w:lang w:eastAsia="en-US"/>
        </w:rPr>
        <w:t xml:space="preserve">3.1 </w:t>
      </w:r>
      <w:r w:rsidRPr="00EB0DCC">
        <w:rPr>
          <w:rFonts w:ascii="Helvetica" w:hAnsi="Helvetica" w:cs="Helvetica"/>
          <w:color w:val="000000"/>
        </w:rPr>
        <w:t>RoS objectives for enterprise risk management (ERM) are to:</w:t>
      </w:r>
    </w:p>
    <w:p w14:paraId="6F4F7AF6" w14:textId="77777777" w:rsidR="00C53A6C" w:rsidRPr="00EB0DCC" w:rsidRDefault="00C53A6C" w:rsidP="00C53A6C">
      <w:pPr>
        <w:numPr>
          <w:ilvl w:val="0"/>
          <w:numId w:val="14"/>
        </w:numPr>
        <w:shd w:val="clear" w:color="auto" w:fill="FFFFFF"/>
        <w:spacing w:before="100" w:beforeAutospacing="1" w:after="100" w:afterAutospacing="1" w:line="300" w:lineRule="atLeast"/>
        <w:ind w:left="375"/>
        <w:rPr>
          <w:rFonts w:ascii="Helvetica" w:hAnsi="Helvetica" w:cs="Helvetica"/>
          <w:color w:val="000000"/>
        </w:rPr>
      </w:pPr>
      <w:r w:rsidRPr="00EB0DCC">
        <w:rPr>
          <w:rFonts w:ascii="Helvetica" w:hAnsi="Helvetica" w:cs="Helvetica"/>
          <w:color w:val="000000"/>
        </w:rPr>
        <w:t>provide appropriate risk information to support decision making at all levels</w:t>
      </w:r>
    </w:p>
    <w:p w14:paraId="572D2D2C" w14:textId="77777777" w:rsidR="00C53A6C" w:rsidRPr="00EB0DCC" w:rsidRDefault="00C53A6C" w:rsidP="00C53A6C">
      <w:pPr>
        <w:numPr>
          <w:ilvl w:val="0"/>
          <w:numId w:val="14"/>
        </w:numPr>
        <w:shd w:val="clear" w:color="auto" w:fill="FFFFFF"/>
        <w:spacing w:before="100" w:beforeAutospacing="1" w:after="100" w:afterAutospacing="1" w:line="300" w:lineRule="atLeast"/>
        <w:ind w:left="375"/>
        <w:rPr>
          <w:rFonts w:ascii="Helvetica" w:hAnsi="Helvetica" w:cs="Helvetica"/>
          <w:color w:val="000000"/>
        </w:rPr>
      </w:pPr>
      <w:r w:rsidRPr="00EB0DCC">
        <w:rPr>
          <w:rFonts w:ascii="Helvetica" w:hAnsi="Helvetica" w:cs="Helvetica"/>
          <w:color w:val="000000"/>
        </w:rPr>
        <w:t xml:space="preserve">assist in achieving economic, efficient and effective processes to achieve the best outcomes, reduced uncertainty and a supportive risk </w:t>
      </w:r>
      <w:proofErr w:type="gramStart"/>
      <w:r w:rsidRPr="00EB0DCC">
        <w:rPr>
          <w:rFonts w:ascii="Helvetica" w:hAnsi="Helvetica" w:cs="Helvetica"/>
          <w:color w:val="000000"/>
        </w:rPr>
        <w:t>culture</w:t>
      </w:r>
      <w:proofErr w:type="gramEnd"/>
    </w:p>
    <w:p w14:paraId="7B2AC9EC" w14:textId="77777777" w:rsidR="00C53A6C" w:rsidRPr="00EB0DCC" w:rsidRDefault="00C53A6C" w:rsidP="00C53A6C">
      <w:pPr>
        <w:numPr>
          <w:ilvl w:val="0"/>
          <w:numId w:val="14"/>
        </w:numPr>
        <w:shd w:val="clear" w:color="auto" w:fill="FFFFFF"/>
        <w:spacing w:before="100" w:beforeAutospacing="1" w:after="100" w:afterAutospacing="1" w:line="300" w:lineRule="atLeast"/>
        <w:ind w:left="375"/>
        <w:rPr>
          <w:rFonts w:ascii="Helvetica" w:hAnsi="Helvetica" w:cs="Helvetica"/>
          <w:color w:val="000000"/>
        </w:rPr>
      </w:pPr>
      <w:r w:rsidRPr="00EB0DCC">
        <w:rPr>
          <w:rFonts w:ascii="Helvetica" w:hAnsi="Helvetica" w:cs="Helvetica"/>
          <w:color w:val="000000"/>
        </w:rPr>
        <w:t>achieve compliance with our mandatory obligations</w:t>
      </w:r>
    </w:p>
    <w:p w14:paraId="339153E1" w14:textId="77777777" w:rsidR="00C53A6C" w:rsidRPr="00EB0DCC" w:rsidRDefault="00C53A6C" w:rsidP="00C53A6C">
      <w:pPr>
        <w:numPr>
          <w:ilvl w:val="0"/>
          <w:numId w:val="14"/>
        </w:numPr>
        <w:shd w:val="clear" w:color="auto" w:fill="FFFFFF"/>
        <w:spacing w:before="100" w:beforeAutospacing="1" w:after="100" w:afterAutospacing="1" w:line="300" w:lineRule="atLeast"/>
        <w:ind w:left="375"/>
        <w:rPr>
          <w:rFonts w:ascii="Helvetica" w:hAnsi="Helvetica" w:cs="Helvetica"/>
          <w:color w:val="000000"/>
        </w:rPr>
      </w:pPr>
      <w:r w:rsidRPr="00EB0DCC">
        <w:rPr>
          <w:rFonts w:ascii="Helvetica" w:hAnsi="Helvetica" w:cs="Helvetica"/>
          <w:color w:val="000000"/>
        </w:rPr>
        <w:t>provide assurance that our internal control activities and risk management practice comply with our risk management principles</w:t>
      </w:r>
    </w:p>
    <w:p w14:paraId="694B9D00" w14:textId="77777777" w:rsidR="00C53A6C" w:rsidRDefault="00C53A6C" w:rsidP="00C53A6C">
      <w:pPr>
        <w:numPr>
          <w:ilvl w:val="0"/>
          <w:numId w:val="11"/>
        </w:numPr>
        <w:spacing w:after="160" w:line="259" w:lineRule="auto"/>
        <w:contextualSpacing/>
        <w:rPr>
          <w:rFonts w:ascii="Arial" w:eastAsiaTheme="minorHAnsi" w:hAnsi="Arial" w:cs="Arial"/>
          <w:b/>
          <w:sz w:val="36"/>
          <w:szCs w:val="36"/>
          <w:lang w:eastAsia="en-US"/>
        </w:rPr>
      </w:pPr>
      <w:r w:rsidRPr="00E4212F">
        <w:rPr>
          <w:rFonts w:ascii="Arial" w:eastAsiaTheme="minorHAnsi" w:hAnsi="Arial" w:cs="Arial"/>
          <w:b/>
          <w:sz w:val="36"/>
          <w:szCs w:val="36"/>
          <w:lang w:eastAsia="en-US"/>
        </w:rPr>
        <w:lastRenderedPageBreak/>
        <w:t>Roles and responsibilities</w:t>
      </w:r>
    </w:p>
    <w:p w14:paraId="14D30708" w14:textId="77777777" w:rsidR="00C53A6C" w:rsidRDefault="00C53A6C" w:rsidP="00C53A6C">
      <w:pPr>
        <w:pStyle w:val="ListParagraph"/>
        <w:numPr>
          <w:ilvl w:val="1"/>
          <w:numId w:val="12"/>
        </w:numPr>
        <w:spacing w:after="160" w:line="259" w:lineRule="auto"/>
        <w:jc w:val="both"/>
        <w:rPr>
          <w:rFonts w:ascii="Arial" w:eastAsiaTheme="minorHAnsi" w:hAnsi="Arial" w:cs="Arial"/>
          <w:lang w:eastAsia="en-US"/>
        </w:rPr>
      </w:pPr>
      <w:r w:rsidRPr="00ED7C20">
        <w:rPr>
          <w:rFonts w:ascii="Arial" w:eastAsiaTheme="minorHAnsi" w:hAnsi="Arial" w:cs="Arial"/>
          <w:lang w:eastAsia="en-US"/>
        </w:rPr>
        <w:t>The EMT is responsible for the content of this policy, its approval and review</w:t>
      </w:r>
      <w:r>
        <w:rPr>
          <w:rFonts w:ascii="Arial" w:eastAsiaTheme="minorHAnsi" w:hAnsi="Arial" w:cs="Arial"/>
          <w:lang w:eastAsia="en-US"/>
        </w:rPr>
        <w:t xml:space="preserve">, </w:t>
      </w:r>
      <w:r w:rsidRPr="00ED7C20">
        <w:rPr>
          <w:rFonts w:ascii="Arial" w:eastAsiaTheme="minorHAnsi" w:hAnsi="Arial" w:cs="Arial"/>
          <w:lang w:eastAsia="en-US"/>
        </w:rPr>
        <w:t xml:space="preserve">which includes the RoS Board and its Audit &amp; Risk Committee (ARC). They are responsible for ensuring its implementation in practice and for monitoring this over time. They are </w:t>
      </w:r>
      <w:r>
        <w:rPr>
          <w:rFonts w:ascii="Arial" w:eastAsiaTheme="minorHAnsi" w:hAnsi="Arial" w:cs="Arial"/>
          <w:lang w:eastAsia="en-US"/>
        </w:rPr>
        <w:t xml:space="preserve">also </w:t>
      </w:r>
      <w:r w:rsidRPr="00ED7C20">
        <w:rPr>
          <w:rFonts w:ascii="Arial" w:eastAsiaTheme="minorHAnsi" w:hAnsi="Arial" w:cs="Arial"/>
          <w:lang w:eastAsia="en-US"/>
        </w:rPr>
        <w:t xml:space="preserve">responsible for ensuring that appropriate procedures, </w:t>
      </w:r>
      <w:proofErr w:type="gramStart"/>
      <w:r w:rsidRPr="00ED7C20">
        <w:rPr>
          <w:rFonts w:ascii="Arial" w:eastAsiaTheme="minorHAnsi" w:hAnsi="Arial" w:cs="Arial"/>
          <w:lang w:eastAsia="en-US"/>
        </w:rPr>
        <w:t>guidelines</w:t>
      </w:r>
      <w:proofErr w:type="gramEnd"/>
      <w:r w:rsidRPr="00ED7C20">
        <w:rPr>
          <w:rFonts w:ascii="Arial" w:eastAsiaTheme="minorHAnsi" w:hAnsi="Arial" w:cs="Arial"/>
          <w:lang w:eastAsia="en-US"/>
        </w:rPr>
        <w:t xml:space="preserve"> or standards as are required to support this are maintained and ownership for these assigned appropriately. </w:t>
      </w:r>
    </w:p>
    <w:p w14:paraId="7EC1854F" w14:textId="77777777" w:rsidR="00C53A6C" w:rsidRPr="00ED7C20" w:rsidRDefault="00C53A6C" w:rsidP="00C53A6C">
      <w:pPr>
        <w:pStyle w:val="ListParagraph"/>
        <w:numPr>
          <w:ilvl w:val="1"/>
          <w:numId w:val="12"/>
        </w:numPr>
        <w:jc w:val="both"/>
        <w:rPr>
          <w:rFonts w:ascii="Arial" w:eastAsiaTheme="minorHAnsi" w:hAnsi="Arial" w:cs="Arial"/>
          <w:lang w:eastAsia="en-US"/>
        </w:rPr>
      </w:pPr>
      <w:r w:rsidRPr="00ED7C20">
        <w:rPr>
          <w:rFonts w:ascii="Arial" w:eastAsiaTheme="minorHAnsi" w:hAnsi="Arial" w:cs="Arial"/>
          <w:lang w:eastAsia="en-US"/>
        </w:rPr>
        <w:t xml:space="preserve">The RoS Accountable Officer has responsibility for delivery of the </w:t>
      </w:r>
      <w:proofErr w:type="gramStart"/>
      <w:r w:rsidRPr="00ED7C20">
        <w:rPr>
          <w:rFonts w:ascii="Arial" w:eastAsiaTheme="minorHAnsi" w:hAnsi="Arial" w:cs="Arial"/>
          <w:lang w:eastAsia="en-US"/>
        </w:rPr>
        <w:t>enterprise wide</w:t>
      </w:r>
      <w:proofErr w:type="gramEnd"/>
      <w:r w:rsidRPr="00ED7C20">
        <w:rPr>
          <w:rFonts w:ascii="Arial" w:eastAsiaTheme="minorHAnsi" w:hAnsi="Arial" w:cs="Arial"/>
          <w:lang w:eastAsia="en-US"/>
        </w:rPr>
        <w:t xml:space="preserve"> implementation of the policy, principles and objectives. The Accountable Officer also approves the governance statement within the RoS Annual </w:t>
      </w:r>
      <w:r>
        <w:rPr>
          <w:rFonts w:ascii="Arial" w:eastAsiaTheme="minorHAnsi" w:hAnsi="Arial" w:cs="Arial"/>
          <w:lang w:eastAsia="en-US"/>
        </w:rPr>
        <w:t>R</w:t>
      </w:r>
      <w:r w:rsidRPr="00ED7C20">
        <w:rPr>
          <w:rFonts w:ascii="Arial" w:eastAsiaTheme="minorHAnsi" w:hAnsi="Arial" w:cs="Arial"/>
          <w:lang w:eastAsia="en-US"/>
        </w:rPr>
        <w:t>eport</w:t>
      </w:r>
      <w:r>
        <w:rPr>
          <w:rFonts w:ascii="Arial" w:eastAsiaTheme="minorHAnsi" w:hAnsi="Arial" w:cs="Arial"/>
          <w:lang w:eastAsia="en-US"/>
        </w:rPr>
        <w:t xml:space="preserve"> and Accounts (ARA)</w:t>
      </w:r>
      <w:r w:rsidRPr="00ED7C20">
        <w:rPr>
          <w:rFonts w:ascii="Arial" w:eastAsiaTheme="minorHAnsi" w:hAnsi="Arial" w:cs="Arial"/>
          <w:lang w:eastAsia="en-US"/>
        </w:rPr>
        <w:t xml:space="preserve">. The </w:t>
      </w:r>
      <w:r>
        <w:rPr>
          <w:rFonts w:ascii="Arial" w:eastAsiaTheme="minorHAnsi" w:hAnsi="Arial" w:cs="Arial"/>
          <w:lang w:eastAsia="en-US"/>
        </w:rPr>
        <w:t xml:space="preserve">ARA </w:t>
      </w:r>
      <w:r w:rsidRPr="00ED7C20">
        <w:rPr>
          <w:rFonts w:ascii="Arial" w:eastAsiaTheme="minorHAnsi" w:hAnsi="Arial" w:cs="Arial"/>
          <w:lang w:eastAsia="en-US"/>
        </w:rPr>
        <w:t xml:space="preserve">governance statement outlines and evaluates the governance, risk management and internal control arrangements in place during the preceding year.  The ARC supports and advises the Accountable Officer in monitoring the corporate governance, risk, value for money and control systems in RoS. </w:t>
      </w:r>
    </w:p>
    <w:p w14:paraId="61242BDF" w14:textId="77777777" w:rsidR="00C53A6C" w:rsidRDefault="00C53A6C" w:rsidP="00C53A6C">
      <w:pPr>
        <w:pStyle w:val="ListParagraph"/>
        <w:numPr>
          <w:ilvl w:val="1"/>
          <w:numId w:val="12"/>
        </w:numPr>
        <w:jc w:val="both"/>
        <w:rPr>
          <w:rFonts w:ascii="Arial" w:eastAsiaTheme="minorHAnsi" w:hAnsi="Arial" w:cs="Arial"/>
          <w:lang w:eastAsia="en-US"/>
        </w:rPr>
      </w:pPr>
      <w:r w:rsidRPr="00ED7C20">
        <w:rPr>
          <w:rFonts w:ascii="Arial" w:eastAsiaTheme="minorHAnsi" w:hAnsi="Arial" w:cs="Arial"/>
          <w:lang w:eastAsia="en-US"/>
        </w:rPr>
        <w:t xml:space="preserve">All Heads of Service are responsible for leading risk management for their services and providing annual certificates of assurance and assurance opinions to the Accountable Officer for the </w:t>
      </w:r>
      <w:r>
        <w:rPr>
          <w:rFonts w:ascii="Arial" w:eastAsiaTheme="minorHAnsi" w:hAnsi="Arial" w:cs="Arial"/>
          <w:lang w:eastAsia="en-US"/>
        </w:rPr>
        <w:t xml:space="preserve">ARA </w:t>
      </w:r>
      <w:r w:rsidRPr="00ED7C20">
        <w:rPr>
          <w:rFonts w:ascii="Arial" w:eastAsiaTheme="minorHAnsi" w:hAnsi="Arial" w:cs="Arial"/>
          <w:lang w:eastAsia="en-US"/>
        </w:rPr>
        <w:t xml:space="preserve">governance statement. </w:t>
      </w:r>
      <w:r w:rsidRPr="0037733B">
        <w:rPr>
          <w:rFonts w:ascii="Arial" w:eastAsiaTheme="minorHAnsi" w:hAnsi="Arial" w:cs="Arial"/>
          <w:highlight w:val="yellow"/>
          <w:lang w:eastAsia="en-US"/>
        </w:rPr>
        <w:t>Heads of Service are responsible for ensuring risk management activity informs business continuity arrangements for their services.</w:t>
      </w:r>
    </w:p>
    <w:p w14:paraId="43B3F3BC" w14:textId="77777777" w:rsidR="00C53A6C" w:rsidRDefault="00C53A6C" w:rsidP="00C53A6C">
      <w:pPr>
        <w:pStyle w:val="ListParagraph"/>
        <w:numPr>
          <w:ilvl w:val="1"/>
          <w:numId w:val="12"/>
        </w:numPr>
        <w:jc w:val="both"/>
        <w:rPr>
          <w:rFonts w:ascii="Arial" w:eastAsiaTheme="minorHAnsi" w:hAnsi="Arial" w:cs="Arial"/>
          <w:lang w:eastAsia="en-US"/>
        </w:rPr>
      </w:pPr>
      <w:r>
        <w:rPr>
          <w:rFonts w:ascii="Arial" w:hAnsi="Arial" w:cs="Arial"/>
        </w:rPr>
        <w:t>A</w:t>
      </w:r>
      <w:r w:rsidRPr="00CC6620">
        <w:rPr>
          <w:rFonts w:ascii="Arial" w:hAnsi="Arial" w:cs="Arial"/>
        </w:rPr>
        <w:t>ll RoS colleagues hav</w:t>
      </w:r>
      <w:r>
        <w:rPr>
          <w:rFonts w:ascii="Arial" w:hAnsi="Arial" w:cs="Arial"/>
        </w:rPr>
        <w:t>e</w:t>
      </w:r>
      <w:r w:rsidRPr="00CC6620">
        <w:rPr>
          <w:rFonts w:ascii="Arial" w:hAnsi="Arial" w:cs="Arial"/>
        </w:rPr>
        <w:t xml:space="preserve"> a responsibility to be aware of risk, and to support and participate in risk management </w:t>
      </w:r>
      <w:r>
        <w:rPr>
          <w:rFonts w:ascii="Arial" w:hAnsi="Arial" w:cs="Arial"/>
        </w:rPr>
        <w:t xml:space="preserve">activities </w:t>
      </w:r>
      <w:r w:rsidRPr="00CC6620">
        <w:rPr>
          <w:rFonts w:ascii="Arial" w:hAnsi="Arial" w:cs="Arial"/>
        </w:rPr>
        <w:t>led by Heads of Service</w:t>
      </w:r>
      <w:r>
        <w:rPr>
          <w:rFonts w:ascii="Arial" w:hAnsi="Arial" w:cs="Arial"/>
        </w:rPr>
        <w:t>.</w:t>
      </w:r>
    </w:p>
    <w:p w14:paraId="699A5873" w14:textId="77777777" w:rsidR="00C53A6C" w:rsidRPr="00ED7C20" w:rsidRDefault="00C53A6C" w:rsidP="00C53A6C">
      <w:pPr>
        <w:pStyle w:val="ListParagraph"/>
        <w:numPr>
          <w:ilvl w:val="1"/>
          <w:numId w:val="12"/>
        </w:numPr>
        <w:jc w:val="both"/>
        <w:rPr>
          <w:rFonts w:ascii="Arial" w:eastAsiaTheme="minorHAnsi" w:hAnsi="Arial" w:cs="Arial"/>
          <w:lang w:eastAsia="en-US"/>
        </w:rPr>
      </w:pPr>
      <w:r w:rsidRPr="00ED7C20">
        <w:rPr>
          <w:rFonts w:ascii="Arial" w:eastAsiaTheme="minorHAnsi" w:hAnsi="Arial" w:cs="Arial"/>
          <w:lang w:eastAsia="en-US"/>
        </w:rPr>
        <w:t xml:space="preserve">The RoS ERM service is responsible for the delivery of the integrated ERM framework, including enterprise-wide </w:t>
      </w:r>
      <w:r w:rsidRPr="0037733B">
        <w:rPr>
          <w:rFonts w:ascii="Arial" w:eastAsiaTheme="minorHAnsi" w:hAnsi="Arial" w:cs="Arial"/>
          <w:highlight w:val="yellow"/>
          <w:lang w:eastAsia="en-US"/>
        </w:rPr>
        <w:t>support</w:t>
      </w:r>
      <w:r w:rsidRPr="00ED7C20">
        <w:rPr>
          <w:rFonts w:ascii="Arial" w:eastAsiaTheme="minorHAnsi" w:hAnsi="Arial" w:cs="Arial"/>
          <w:lang w:eastAsia="en-US"/>
        </w:rPr>
        <w:t xml:space="preserve">, </w:t>
      </w:r>
      <w:proofErr w:type="gramStart"/>
      <w:r w:rsidRPr="00ED7C20">
        <w:rPr>
          <w:rFonts w:ascii="Arial" w:eastAsiaTheme="minorHAnsi" w:hAnsi="Arial" w:cs="Arial"/>
          <w:lang w:eastAsia="en-US"/>
        </w:rPr>
        <w:t>training</w:t>
      </w:r>
      <w:proofErr w:type="gramEnd"/>
      <w:r w:rsidRPr="00ED7C20">
        <w:rPr>
          <w:rFonts w:ascii="Arial" w:eastAsiaTheme="minorHAnsi" w:hAnsi="Arial" w:cs="Arial"/>
          <w:lang w:eastAsia="en-US"/>
        </w:rPr>
        <w:t xml:space="preserve"> and awareness, on behalf of the Accountable Officer.</w:t>
      </w:r>
    </w:p>
    <w:p w14:paraId="614015DB" w14:textId="77777777" w:rsidR="00C53A6C" w:rsidRPr="00E4212F" w:rsidRDefault="00C53A6C" w:rsidP="00C53A6C">
      <w:pPr>
        <w:spacing w:after="160" w:line="259" w:lineRule="auto"/>
        <w:ind w:left="360"/>
        <w:contextualSpacing/>
        <w:rPr>
          <w:rFonts w:ascii="Arial" w:eastAsiaTheme="minorHAnsi" w:hAnsi="Arial" w:cs="Arial"/>
          <w:i/>
          <w:lang w:eastAsia="en-US"/>
        </w:rPr>
      </w:pPr>
    </w:p>
    <w:p w14:paraId="729369D7" w14:textId="77777777" w:rsidR="00C53A6C" w:rsidRPr="00E4212F" w:rsidRDefault="00C53A6C" w:rsidP="00C53A6C">
      <w:pPr>
        <w:spacing w:after="160" w:line="259" w:lineRule="auto"/>
        <w:rPr>
          <w:rFonts w:ascii="Arial" w:eastAsiaTheme="minorHAnsi" w:hAnsi="Arial" w:cs="Arial"/>
          <w:b/>
          <w:color w:val="000000" w:themeColor="text1"/>
          <w:lang w:eastAsia="en-US"/>
        </w:rPr>
      </w:pPr>
      <w:r>
        <w:rPr>
          <w:rFonts w:ascii="Arial" w:eastAsiaTheme="minorHAnsi" w:hAnsi="Arial" w:cs="Arial"/>
          <w:b/>
          <w:sz w:val="36"/>
          <w:szCs w:val="36"/>
          <w:lang w:eastAsia="en-US"/>
        </w:rPr>
        <w:t>5</w:t>
      </w:r>
      <w:r w:rsidRPr="00E4212F">
        <w:rPr>
          <w:rFonts w:ascii="Arial" w:eastAsiaTheme="minorHAnsi" w:hAnsi="Arial" w:cs="Arial"/>
          <w:b/>
          <w:sz w:val="36"/>
          <w:szCs w:val="36"/>
          <w:lang w:eastAsia="en-US"/>
        </w:rPr>
        <w:t xml:space="preserve"> Approval and review</w:t>
      </w:r>
    </w:p>
    <w:p w14:paraId="1C5063E7" w14:textId="77777777" w:rsidR="00C53A6C" w:rsidRDefault="00C53A6C" w:rsidP="00C53A6C">
      <w:pPr>
        <w:spacing w:after="160" w:line="259" w:lineRule="auto"/>
        <w:jc w:val="both"/>
        <w:rPr>
          <w:rFonts w:ascii="Arial" w:eastAsiaTheme="minorHAnsi" w:hAnsi="Arial" w:cs="Arial"/>
          <w:i/>
          <w:color w:val="000000" w:themeColor="text1"/>
          <w:lang w:eastAsia="en-US"/>
        </w:rPr>
      </w:pPr>
      <w:r>
        <w:rPr>
          <w:rFonts w:ascii="Arial" w:eastAsiaTheme="minorHAnsi" w:hAnsi="Arial" w:cs="Arial"/>
          <w:color w:val="000000" w:themeColor="text1"/>
          <w:lang w:eastAsia="en-US"/>
        </w:rPr>
        <w:t xml:space="preserve">5.1 </w:t>
      </w:r>
      <w:r w:rsidRPr="00E4212F">
        <w:rPr>
          <w:rFonts w:ascii="Arial" w:eastAsiaTheme="minorHAnsi" w:hAnsi="Arial" w:cs="Arial"/>
          <w:color w:val="000000" w:themeColor="text1"/>
          <w:lang w:eastAsia="en-US"/>
        </w:rPr>
        <w:t xml:space="preserve">This policy will be reviewed </w:t>
      </w:r>
      <w:r>
        <w:rPr>
          <w:rFonts w:ascii="Arial" w:eastAsiaTheme="minorHAnsi" w:hAnsi="Arial" w:cs="Arial"/>
          <w:color w:val="000000" w:themeColor="text1"/>
          <w:lang w:eastAsia="en-US"/>
        </w:rPr>
        <w:t>annually,</w:t>
      </w:r>
      <w:r w:rsidRPr="00E4212F">
        <w:rPr>
          <w:rFonts w:ascii="Arial" w:eastAsiaTheme="minorHAnsi" w:hAnsi="Arial" w:cs="Arial"/>
          <w:color w:val="000000" w:themeColor="text1"/>
          <w:lang w:eastAsia="en-US"/>
        </w:rPr>
        <w:t xml:space="preserve"> unles</w:t>
      </w:r>
      <w:r>
        <w:rPr>
          <w:rFonts w:ascii="Arial" w:eastAsiaTheme="minorHAnsi" w:hAnsi="Arial" w:cs="Arial"/>
          <w:color w:val="000000" w:themeColor="text1"/>
          <w:lang w:eastAsia="en-US"/>
        </w:rPr>
        <w:t>s earlier review is appropriate, by the ARC and RoS Board and approved by EMT.</w:t>
      </w:r>
    </w:p>
    <w:p w14:paraId="59D8CB8F" w14:textId="77777777" w:rsidR="00AB0641" w:rsidRDefault="00AB0641" w:rsidP="00AB0641">
      <w:pPr>
        <w:ind w:left="1440" w:hanging="1440"/>
        <w:jc w:val="both"/>
        <w:rPr>
          <w:rFonts w:ascii="Arial" w:hAnsi="Arial" w:cs="Arial"/>
          <w:b/>
        </w:rPr>
      </w:pPr>
    </w:p>
    <w:p w14:paraId="43061408" w14:textId="5B3B48F4" w:rsidR="0037570E" w:rsidRDefault="0037570E" w:rsidP="00AB0641">
      <w:pPr>
        <w:ind w:left="1440" w:hanging="1440"/>
        <w:jc w:val="both"/>
        <w:rPr>
          <w:rFonts w:ascii="Arial" w:hAnsi="Arial" w:cs="Arial"/>
          <w:b/>
        </w:rPr>
      </w:pPr>
    </w:p>
    <w:p w14:paraId="0C6A8E83" w14:textId="77777777" w:rsidR="0037570E" w:rsidRDefault="0037570E" w:rsidP="00AB0641">
      <w:pPr>
        <w:ind w:left="1440" w:hanging="1440"/>
        <w:jc w:val="both"/>
        <w:rPr>
          <w:rFonts w:ascii="Arial" w:hAnsi="Arial" w:cs="Arial"/>
          <w:b/>
        </w:rPr>
      </w:pPr>
    </w:p>
    <w:p w14:paraId="4DA364A2" w14:textId="41A1F3FD" w:rsidR="001000EB" w:rsidRPr="0053200F" w:rsidRDefault="004B61E4" w:rsidP="00AB0641">
      <w:pPr>
        <w:jc w:val="both"/>
        <w:rPr>
          <w:rFonts w:ascii="Arial" w:hAnsi="Arial" w:cs="Arial"/>
        </w:rPr>
      </w:pPr>
    </w:p>
    <w:sectPr w:rsidR="001000EB" w:rsidRPr="0053200F" w:rsidSect="00FF3CB9">
      <w:headerReference w:type="first" r:id="rId12"/>
      <w:pgSz w:w="11906" w:h="16838"/>
      <w:pgMar w:top="426" w:right="1440" w:bottom="1276" w:left="144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64E1" w14:textId="77777777" w:rsidR="006D6A90" w:rsidRDefault="006D6A90" w:rsidP="003D7944">
      <w:r>
        <w:separator/>
      </w:r>
    </w:p>
  </w:endnote>
  <w:endnote w:type="continuationSeparator" w:id="0">
    <w:p w14:paraId="2A882751" w14:textId="77777777" w:rsidR="006D6A90" w:rsidRDefault="006D6A90" w:rsidP="003D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2A65" w14:textId="77777777" w:rsidR="006D6A90" w:rsidRDefault="006D6A90" w:rsidP="003D7944">
      <w:r>
        <w:separator/>
      </w:r>
    </w:p>
  </w:footnote>
  <w:footnote w:type="continuationSeparator" w:id="0">
    <w:p w14:paraId="081C6E7A" w14:textId="77777777" w:rsidR="006D6A90" w:rsidRDefault="006D6A90" w:rsidP="003D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EF31" w14:textId="5D7B8742" w:rsidR="00FF3CB9" w:rsidRDefault="0068387B" w:rsidP="0068387B">
    <w:pPr>
      <w:pStyle w:val="Header"/>
      <w:jc w:val="right"/>
    </w:pPr>
    <w:r w:rsidRPr="005B4697">
      <w:rPr>
        <w:rFonts w:ascii="Arial" w:hAnsi="Arial" w:cs="Arial"/>
        <w:i/>
        <w:iCs/>
      </w:rPr>
      <w:t>RoSBrd2022/12</w:t>
    </w:r>
    <w:r>
      <w:rPr>
        <w:rFonts w:ascii="Arial" w:hAnsi="Arial" w:cs="Arial"/>
        <w:i/>
        <w:iCs/>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6B4"/>
    <w:multiLevelType w:val="hybridMultilevel"/>
    <w:tmpl w:val="09926C2A"/>
    <w:lvl w:ilvl="0" w:tplc="E9F62B26">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4FB9"/>
    <w:multiLevelType w:val="hybridMultilevel"/>
    <w:tmpl w:val="2ACA16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20B0A"/>
    <w:multiLevelType w:val="multilevel"/>
    <w:tmpl w:val="844C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B2F75"/>
    <w:multiLevelType w:val="hybridMultilevel"/>
    <w:tmpl w:val="F09660FC"/>
    <w:lvl w:ilvl="0" w:tplc="1D3AB9D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23F41"/>
    <w:multiLevelType w:val="multilevel"/>
    <w:tmpl w:val="3F343F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2005E1"/>
    <w:multiLevelType w:val="hybridMultilevel"/>
    <w:tmpl w:val="1F64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22536"/>
    <w:multiLevelType w:val="multilevel"/>
    <w:tmpl w:val="28E4FE1E"/>
    <w:lvl w:ilvl="0">
      <w:start w:val="4"/>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4FC2095"/>
    <w:multiLevelType w:val="multilevel"/>
    <w:tmpl w:val="5276EFF2"/>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893F95"/>
    <w:multiLevelType w:val="hybridMultilevel"/>
    <w:tmpl w:val="E026C5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9" w15:restartNumberingAfterBreak="0">
    <w:nsid w:val="570229B8"/>
    <w:multiLevelType w:val="hybridMultilevel"/>
    <w:tmpl w:val="1C0A3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FE791E"/>
    <w:multiLevelType w:val="hybridMultilevel"/>
    <w:tmpl w:val="7778C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C2B5469"/>
    <w:multiLevelType w:val="multilevel"/>
    <w:tmpl w:val="0C02EB9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16cid:durableId="700009169">
    <w:abstractNumId w:val="0"/>
  </w:num>
  <w:num w:numId="2" w16cid:durableId="1637832298">
    <w:abstractNumId w:val="8"/>
  </w:num>
  <w:num w:numId="3" w16cid:durableId="799612821">
    <w:abstractNumId w:val="9"/>
  </w:num>
  <w:num w:numId="4" w16cid:durableId="1036734753">
    <w:abstractNumId w:val="5"/>
  </w:num>
  <w:num w:numId="5" w16cid:durableId="1235435008">
    <w:abstractNumId w:val="3"/>
  </w:num>
  <w:num w:numId="6" w16cid:durableId="2003392691">
    <w:abstractNumId w:val="10"/>
  </w:num>
  <w:num w:numId="7" w16cid:durableId="1659068407">
    <w:abstractNumId w:val="11"/>
  </w:num>
  <w:num w:numId="8" w16cid:durableId="64185149">
    <w:abstractNumId w:val="1"/>
  </w:num>
  <w:num w:numId="9" w16cid:durableId="255140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34104">
    <w:abstractNumId w:val="7"/>
  </w:num>
  <w:num w:numId="11" w16cid:durableId="514149821">
    <w:abstractNumId w:val="6"/>
  </w:num>
  <w:num w:numId="12" w16cid:durableId="255868658">
    <w:abstractNumId w:val="4"/>
  </w:num>
  <w:num w:numId="13" w16cid:durableId="241255052">
    <w:abstractNumId w:val="12"/>
  </w:num>
  <w:num w:numId="14" w16cid:durableId="903368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41D1C"/>
    <w:rsid w:val="00044DBA"/>
    <w:rsid w:val="000A7F07"/>
    <w:rsid w:val="000B4350"/>
    <w:rsid w:val="000C20E9"/>
    <w:rsid w:val="000D505C"/>
    <w:rsid w:val="00101837"/>
    <w:rsid w:val="00105682"/>
    <w:rsid w:val="0012639F"/>
    <w:rsid w:val="001371E8"/>
    <w:rsid w:val="001549AD"/>
    <w:rsid w:val="001611D7"/>
    <w:rsid w:val="00175620"/>
    <w:rsid w:val="00181BF7"/>
    <w:rsid w:val="00186245"/>
    <w:rsid w:val="001B2EE2"/>
    <w:rsid w:val="001B43C3"/>
    <w:rsid w:val="001E3F70"/>
    <w:rsid w:val="00202132"/>
    <w:rsid w:val="00236EFE"/>
    <w:rsid w:val="00256F15"/>
    <w:rsid w:val="002576E7"/>
    <w:rsid w:val="00280C53"/>
    <w:rsid w:val="002A6CB9"/>
    <w:rsid w:val="002B5886"/>
    <w:rsid w:val="002E4AF7"/>
    <w:rsid w:val="002E5703"/>
    <w:rsid w:val="003019CB"/>
    <w:rsid w:val="00327F4C"/>
    <w:rsid w:val="0034239F"/>
    <w:rsid w:val="00367C3A"/>
    <w:rsid w:val="0037570E"/>
    <w:rsid w:val="00394DAE"/>
    <w:rsid w:val="003C26A4"/>
    <w:rsid w:val="003D7944"/>
    <w:rsid w:val="003E529A"/>
    <w:rsid w:val="00412C20"/>
    <w:rsid w:val="004254B3"/>
    <w:rsid w:val="0045069E"/>
    <w:rsid w:val="004721F9"/>
    <w:rsid w:val="00473FD1"/>
    <w:rsid w:val="004A33F0"/>
    <w:rsid w:val="004B61E4"/>
    <w:rsid w:val="004C44FC"/>
    <w:rsid w:val="004D453A"/>
    <w:rsid w:val="004F4967"/>
    <w:rsid w:val="00531024"/>
    <w:rsid w:val="0053200F"/>
    <w:rsid w:val="00571F60"/>
    <w:rsid w:val="005824A2"/>
    <w:rsid w:val="0059119A"/>
    <w:rsid w:val="005C08A5"/>
    <w:rsid w:val="006102A8"/>
    <w:rsid w:val="00655EC5"/>
    <w:rsid w:val="006747CA"/>
    <w:rsid w:val="0068387B"/>
    <w:rsid w:val="006D6A90"/>
    <w:rsid w:val="0070660A"/>
    <w:rsid w:val="0076244E"/>
    <w:rsid w:val="007657E5"/>
    <w:rsid w:val="00777D60"/>
    <w:rsid w:val="0078175F"/>
    <w:rsid w:val="00786444"/>
    <w:rsid w:val="007967FE"/>
    <w:rsid w:val="007F2E21"/>
    <w:rsid w:val="008A2160"/>
    <w:rsid w:val="008B6E04"/>
    <w:rsid w:val="008C272A"/>
    <w:rsid w:val="008D6760"/>
    <w:rsid w:val="009079C2"/>
    <w:rsid w:val="0093050E"/>
    <w:rsid w:val="00952DC2"/>
    <w:rsid w:val="00A56D2D"/>
    <w:rsid w:val="00A838F8"/>
    <w:rsid w:val="00A8745A"/>
    <w:rsid w:val="00A9516D"/>
    <w:rsid w:val="00AB0006"/>
    <w:rsid w:val="00AB0641"/>
    <w:rsid w:val="00AB5CAC"/>
    <w:rsid w:val="00AB716C"/>
    <w:rsid w:val="00AC3153"/>
    <w:rsid w:val="00AD2111"/>
    <w:rsid w:val="00AE45CB"/>
    <w:rsid w:val="00AF4679"/>
    <w:rsid w:val="00AF75CD"/>
    <w:rsid w:val="00B23594"/>
    <w:rsid w:val="00B2537D"/>
    <w:rsid w:val="00B44B71"/>
    <w:rsid w:val="00B505FF"/>
    <w:rsid w:val="00B507E4"/>
    <w:rsid w:val="00B6597E"/>
    <w:rsid w:val="00B7051C"/>
    <w:rsid w:val="00B80CFE"/>
    <w:rsid w:val="00BA1550"/>
    <w:rsid w:val="00BD3FCC"/>
    <w:rsid w:val="00C056F9"/>
    <w:rsid w:val="00C4342A"/>
    <w:rsid w:val="00C53A6C"/>
    <w:rsid w:val="00C841C2"/>
    <w:rsid w:val="00C95CF4"/>
    <w:rsid w:val="00CB5650"/>
    <w:rsid w:val="00CF67B9"/>
    <w:rsid w:val="00CF76C5"/>
    <w:rsid w:val="00D027CA"/>
    <w:rsid w:val="00D45318"/>
    <w:rsid w:val="00D5179E"/>
    <w:rsid w:val="00D52158"/>
    <w:rsid w:val="00D65B9F"/>
    <w:rsid w:val="00D90B9D"/>
    <w:rsid w:val="00D92CFA"/>
    <w:rsid w:val="00DF1AA6"/>
    <w:rsid w:val="00E308F4"/>
    <w:rsid w:val="00E44EE5"/>
    <w:rsid w:val="00E578F7"/>
    <w:rsid w:val="00E61647"/>
    <w:rsid w:val="00E66C54"/>
    <w:rsid w:val="00E753D2"/>
    <w:rsid w:val="00EA2224"/>
    <w:rsid w:val="00F17166"/>
    <w:rsid w:val="00F17DF1"/>
    <w:rsid w:val="00F215A1"/>
    <w:rsid w:val="00F60DA9"/>
    <w:rsid w:val="00F75879"/>
    <w:rsid w:val="00F90C4E"/>
    <w:rsid w:val="00F9432D"/>
    <w:rsid w:val="00FA2E6D"/>
    <w:rsid w:val="00FB6AE2"/>
    <w:rsid w:val="00FC75B5"/>
    <w:rsid w:val="00FE5B07"/>
    <w:rsid w:val="00FF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A799"/>
  <w15:chartTrackingRefBased/>
  <w15:docId w15:val="{072E5374-B4B0-4522-9543-AA4DBA0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paragraph" w:styleId="ListParagraph">
    <w:name w:val="List Paragraph"/>
    <w:basedOn w:val="Normal"/>
    <w:uiPriority w:val="34"/>
    <w:qFormat/>
    <w:rsid w:val="00E61647"/>
    <w:pPr>
      <w:ind w:left="720"/>
      <w:contextualSpacing/>
    </w:pPr>
  </w:style>
  <w:style w:type="table" w:styleId="TableGrid">
    <w:name w:val="Table Grid"/>
    <w:basedOn w:val="TableNormal"/>
    <w:uiPriority w:val="39"/>
    <w:rsid w:val="007F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024"/>
    <w:rPr>
      <w:color w:val="605E5C"/>
      <w:shd w:val="clear" w:color="auto" w:fill="E1DFDD"/>
    </w:rPr>
  </w:style>
  <w:style w:type="character" w:styleId="FollowedHyperlink">
    <w:name w:val="FollowedHyperlink"/>
    <w:basedOn w:val="DefaultParagraphFont"/>
    <w:uiPriority w:val="99"/>
    <w:semiHidden/>
    <w:unhideWhenUsed/>
    <w:rsid w:val="00531024"/>
    <w:rPr>
      <w:color w:val="954F72" w:themeColor="followedHyperlink"/>
      <w:u w:val="single"/>
    </w:rPr>
  </w:style>
  <w:style w:type="paragraph" w:styleId="NormalWeb">
    <w:name w:val="Normal (Web)"/>
    <w:basedOn w:val="Normal"/>
    <w:uiPriority w:val="99"/>
    <w:unhideWhenUsed/>
    <w:rsid w:val="00FC75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268D-746E-40D2-8F9C-5857CE05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Livingstone, Mags</cp:lastModifiedBy>
  <cp:revision>13</cp:revision>
  <dcterms:created xsi:type="dcterms:W3CDTF">2022-11-22T13:48:00Z</dcterms:created>
  <dcterms:modified xsi:type="dcterms:W3CDTF">2023-02-24T17:07:00Z</dcterms:modified>
</cp:coreProperties>
</file>